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7782D" w14:textId="77777777" w:rsidR="000443AA" w:rsidRPr="003B2AB8" w:rsidRDefault="000443AA" w:rsidP="00A006B2">
      <w:pPr>
        <w:pStyle w:val="HNewReportNumber"/>
        <w:jc w:val="left"/>
        <w:rPr>
          <w:rFonts w:ascii="Arial" w:hAnsi="Arial"/>
          <w:b w:val="0"/>
          <w:color w:val="auto"/>
          <w:sz w:val="20"/>
          <w:szCs w:val="20"/>
        </w:rPr>
      </w:pPr>
      <w:bookmarkStart w:id="0" w:name="_GoBack"/>
      <w:bookmarkEnd w:id="0"/>
      <w:r w:rsidRPr="003B2AB8">
        <w:rPr>
          <w:noProof/>
        </w:rPr>
        <w:drawing>
          <wp:anchor distT="0" distB="0" distL="114300" distR="114300" simplePos="0" relativeHeight="251659264" behindDoc="1" locked="0" layoutInCell="1" allowOverlap="1" wp14:anchorId="46143C02" wp14:editId="2C352567">
            <wp:simplePos x="0" y="0"/>
            <wp:positionH relativeFrom="column">
              <wp:posOffset>-933450</wp:posOffset>
            </wp:positionH>
            <wp:positionV relativeFrom="paragraph">
              <wp:posOffset>-568960</wp:posOffset>
            </wp:positionV>
            <wp:extent cx="7805562" cy="1010131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_WordCover_Educatio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5562" cy="10101315"/>
                    </a:xfrm>
                    <a:prstGeom prst="rect">
                      <a:avLst/>
                    </a:prstGeom>
                  </pic:spPr>
                </pic:pic>
              </a:graphicData>
            </a:graphic>
            <wp14:sizeRelH relativeFrom="page">
              <wp14:pctWidth>0</wp14:pctWidth>
            </wp14:sizeRelH>
            <wp14:sizeRelV relativeFrom="page">
              <wp14:pctHeight>0</wp14:pctHeight>
            </wp14:sizeRelV>
          </wp:anchor>
        </w:drawing>
      </w:r>
    </w:p>
    <w:p w14:paraId="589A2FA9" w14:textId="77777777" w:rsidR="000443AA" w:rsidRPr="003B2AB8" w:rsidRDefault="000629E5" w:rsidP="00A006B2">
      <w:pPr>
        <w:pStyle w:val="HNewReportNumber"/>
        <w:jc w:val="left"/>
        <w:rPr>
          <w:rFonts w:ascii="Arial" w:hAnsi="Arial"/>
          <w:b w:val="0"/>
          <w:color w:val="auto"/>
          <w:sz w:val="20"/>
          <w:szCs w:val="20"/>
        </w:rPr>
      </w:pPr>
      <w:r w:rsidRPr="003B2AB8">
        <w:rPr>
          <w:b w:val="0"/>
        </w:rPr>
        <w:t xml:space="preserve">2016 No. </w:t>
      </w:r>
      <w:r w:rsidR="00BB3AC1" w:rsidRPr="003B2AB8">
        <w:rPr>
          <w:b w:val="0"/>
        </w:rPr>
        <w:t>017</w:t>
      </w:r>
    </w:p>
    <w:p w14:paraId="2E235404" w14:textId="77777777" w:rsidR="000443AA" w:rsidRPr="003B2AB8" w:rsidRDefault="000443AA" w:rsidP="00A006B2">
      <w:pPr>
        <w:pStyle w:val="HNewReportNumber"/>
        <w:jc w:val="left"/>
        <w:rPr>
          <w:rFonts w:ascii="Arial" w:hAnsi="Arial"/>
          <w:b w:val="0"/>
          <w:color w:val="auto"/>
          <w:sz w:val="20"/>
          <w:szCs w:val="20"/>
        </w:rPr>
      </w:pPr>
    </w:p>
    <w:p w14:paraId="1C5AED54" w14:textId="77777777" w:rsidR="000443AA" w:rsidRPr="003B2AB8" w:rsidRDefault="000443AA" w:rsidP="00A006B2">
      <w:pPr>
        <w:pStyle w:val="HNewReportNumber"/>
        <w:jc w:val="left"/>
        <w:rPr>
          <w:rFonts w:ascii="Arial" w:hAnsi="Arial"/>
          <w:b w:val="0"/>
          <w:color w:val="auto"/>
          <w:sz w:val="20"/>
          <w:szCs w:val="20"/>
        </w:rPr>
      </w:pPr>
    </w:p>
    <w:p w14:paraId="674F7B1E" w14:textId="77777777" w:rsidR="000443AA" w:rsidRPr="003B2AB8" w:rsidRDefault="000443AA" w:rsidP="00A006B2">
      <w:pPr>
        <w:pStyle w:val="HNewReportNumber"/>
        <w:jc w:val="left"/>
        <w:rPr>
          <w:rFonts w:ascii="Arial" w:hAnsi="Arial"/>
          <w:b w:val="0"/>
          <w:color w:val="auto"/>
          <w:sz w:val="20"/>
          <w:szCs w:val="20"/>
        </w:rPr>
      </w:pPr>
    </w:p>
    <w:p w14:paraId="6F33124D" w14:textId="77777777" w:rsidR="000443AA" w:rsidRPr="003B2AB8" w:rsidRDefault="000443AA" w:rsidP="00A006B2">
      <w:pPr>
        <w:pStyle w:val="HNewReportNumber"/>
        <w:jc w:val="left"/>
        <w:rPr>
          <w:rFonts w:ascii="Arial" w:hAnsi="Arial"/>
          <w:b w:val="0"/>
          <w:color w:val="auto"/>
          <w:sz w:val="20"/>
          <w:szCs w:val="20"/>
        </w:rPr>
      </w:pPr>
    </w:p>
    <w:p w14:paraId="1551FD1A" w14:textId="77777777" w:rsidR="000443AA" w:rsidRPr="003B2AB8" w:rsidRDefault="000443AA" w:rsidP="00A006B2">
      <w:pPr>
        <w:pStyle w:val="HNewReportNumber"/>
        <w:jc w:val="left"/>
        <w:rPr>
          <w:rFonts w:ascii="Arial" w:hAnsi="Arial"/>
          <w:b w:val="0"/>
          <w:color w:val="auto"/>
          <w:sz w:val="20"/>
          <w:szCs w:val="20"/>
        </w:rPr>
      </w:pPr>
    </w:p>
    <w:p w14:paraId="05677BEE" w14:textId="77777777" w:rsidR="000443AA" w:rsidRPr="003B2AB8" w:rsidRDefault="000443AA" w:rsidP="00A006B2">
      <w:pPr>
        <w:pStyle w:val="HNewReportNumber"/>
        <w:jc w:val="left"/>
        <w:rPr>
          <w:rFonts w:ascii="Arial" w:hAnsi="Arial"/>
          <w:b w:val="0"/>
          <w:color w:val="auto"/>
          <w:sz w:val="20"/>
          <w:szCs w:val="20"/>
        </w:rPr>
      </w:pPr>
    </w:p>
    <w:p w14:paraId="6E0A16C0" w14:textId="77777777" w:rsidR="000443AA" w:rsidRPr="003B2AB8" w:rsidRDefault="000443AA" w:rsidP="00A006B2">
      <w:pPr>
        <w:pStyle w:val="HNewReportNumber"/>
        <w:jc w:val="left"/>
        <w:rPr>
          <w:rFonts w:ascii="Arial" w:hAnsi="Arial"/>
          <w:b w:val="0"/>
          <w:color w:val="auto"/>
          <w:sz w:val="20"/>
          <w:szCs w:val="20"/>
        </w:rPr>
      </w:pPr>
    </w:p>
    <w:p w14:paraId="1417B3EC" w14:textId="77777777" w:rsidR="000443AA" w:rsidRPr="003B2AB8" w:rsidRDefault="000443AA" w:rsidP="00A006B2">
      <w:pPr>
        <w:pStyle w:val="HNewReportNumber"/>
        <w:jc w:val="left"/>
        <w:rPr>
          <w:rFonts w:ascii="Arial" w:hAnsi="Arial"/>
          <w:b w:val="0"/>
          <w:color w:val="auto"/>
          <w:sz w:val="20"/>
          <w:szCs w:val="20"/>
        </w:rPr>
      </w:pPr>
    </w:p>
    <w:p w14:paraId="6C5E1510" w14:textId="77777777" w:rsidR="000443AA" w:rsidRPr="003B2AB8" w:rsidRDefault="000443AA" w:rsidP="00A006B2">
      <w:pPr>
        <w:pStyle w:val="HNewReportNumber"/>
        <w:jc w:val="left"/>
        <w:rPr>
          <w:rFonts w:ascii="Arial" w:hAnsi="Arial"/>
          <w:b w:val="0"/>
          <w:color w:val="auto"/>
          <w:sz w:val="20"/>
          <w:szCs w:val="20"/>
        </w:rPr>
      </w:pPr>
    </w:p>
    <w:p w14:paraId="705AE6B8" w14:textId="77777777" w:rsidR="000443AA" w:rsidRPr="003B2AB8" w:rsidRDefault="000443AA" w:rsidP="00A006B2">
      <w:pPr>
        <w:pStyle w:val="HNewReportNumber"/>
        <w:jc w:val="left"/>
        <w:rPr>
          <w:rFonts w:ascii="Arial" w:hAnsi="Arial"/>
          <w:b w:val="0"/>
          <w:color w:val="auto"/>
          <w:sz w:val="20"/>
          <w:szCs w:val="20"/>
        </w:rPr>
      </w:pPr>
    </w:p>
    <w:p w14:paraId="6A520DDD" w14:textId="77777777" w:rsidR="000443AA" w:rsidRPr="003B2AB8" w:rsidRDefault="000443AA" w:rsidP="00A006B2">
      <w:pPr>
        <w:pStyle w:val="HNewReportNumber"/>
        <w:jc w:val="left"/>
        <w:rPr>
          <w:rFonts w:ascii="Arial" w:hAnsi="Arial"/>
          <w:b w:val="0"/>
          <w:color w:val="auto"/>
          <w:sz w:val="20"/>
          <w:szCs w:val="20"/>
        </w:rPr>
      </w:pPr>
    </w:p>
    <w:p w14:paraId="68EABC36" w14:textId="77777777" w:rsidR="000443AA" w:rsidRPr="003B2AB8" w:rsidRDefault="000443AA" w:rsidP="00A006B2">
      <w:pPr>
        <w:pStyle w:val="HNewReportNumber"/>
        <w:jc w:val="left"/>
        <w:rPr>
          <w:rFonts w:ascii="Arial" w:hAnsi="Arial"/>
          <w:b w:val="0"/>
          <w:color w:val="auto"/>
          <w:sz w:val="20"/>
          <w:szCs w:val="20"/>
        </w:rPr>
      </w:pPr>
    </w:p>
    <w:p w14:paraId="10435729" w14:textId="77777777" w:rsidR="000443AA" w:rsidRPr="003B2AB8" w:rsidRDefault="000443AA" w:rsidP="00A006B2">
      <w:pPr>
        <w:pStyle w:val="HNewReportNumber"/>
        <w:jc w:val="left"/>
        <w:rPr>
          <w:rFonts w:ascii="Arial" w:hAnsi="Arial"/>
          <w:b w:val="0"/>
          <w:color w:val="auto"/>
          <w:sz w:val="20"/>
          <w:szCs w:val="20"/>
        </w:rPr>
      </w:pPr>
    </w:p>
    <w:p w14:paraId="027376D2" w14:textId="77777777" w:rsidR="000443AA" w:rsidRPr="003B2AB8" w:rsidRDefault="000443AA" w:rsidP="00A006B2">
      <w:pPr>
        <w:pStyle w:val="HNewReportNumber"/>
        <w:jc w:val="left"/>
        <w:rPr>
          <w:rFonts w:ascii="Arial" w:hAnsi="Arial"/>
          <w:b w:val="0"/>
          <w:color w:val="auto"/>
          <w:sz w:val="20"/>
          <w:szCs w:val="20"/>
        </w:rPr>
      </w:pPr>
    </w:p>
    <w:p w14:paraId="22A20F3D" w14:textId="77777777" w:rsidR="000443AA" w:rsidRPr="003B2AB8" w:rsidRDefault="000443AA" w:rsidP="00A006B2">
      <w:pPr>
        <w:pStyle w:val="HNewReportNumber"/>
        <w:jc w:val="left"/>
        <w:rPr>
          <w:rFonts w:ascii="Arial" w:hAnsi="Arial"/>
          <w:b w:val="0"/>
          <w:color w:val="auto"/>
          <w:sz w:val="20"/>
          <w:szCs w:val="20"/>
        </w:rPr>
      </w:pPr>
    </w:p>
    <w:p w14:paraId="3E2F4C70" w14:textId="77777777" w:rsidR="000443AA" w:rsidRPr="003B2AB8" w:rsidRDefault="000443AA" w:rsidP="00A006B2">
      <w:pPr>
        <w:pStyle w:val="HNewReportNumber"/>
        <w:jc w:val="left"/>
        <w:rPr>
          <w:rFonts w:ascii="Arial" w:hAnsi="Arial"/>
          <w:b w:val="0"/>
          <w:color w:val="auto"/>
          <w:sz w:val="20"/>
          <w:szCs w:val="20"/>
        </w:rPr>
      </w:pPr>
    </w:p>
    <w:p w14:paraId="379434C9" w14:textId="77777777" w:rsidR="000443AA" w:rsidRPr="003B2AB8" w:rsidRDefault="000443AA" w:rsidP="00A006B2">
      <w:pPr>
        <w:pStyle w:val="HNewReportNumber"/>
        <w:jc w:val="left"/>
        <w:rPr>
          <w:rFonts w:ascii="Arial" w:hAnsi="Arial"/>
          <w:b w:val="0"/>
          <w:color w:val="auto"/>
          <w:sz w:val="20"/>
          <w:szCs w:val="20"/>
        </w:rPr>
      </w:pPr>
    </w:p>
    <w:p w14:paraId="4BB9E387" w14:textId="77777777" w:rsidR="000443AA" w:rsidRPr="003B2AB8" w:rsidRDefault="000443AA" w:rsidP="00A006B2">
      <w:pPr>
        <w:pStyle w:val="HNewReportNumber"/>
        <w:jc w:val="left"/>
        <w:rPr>
          <w:rFonts w:ascii="Arial" w:hAnsi="Arial"/>
          <w:b w:val="0"/>
          <w:color w:val="auto"/>
          <w:sz w:val="20"/>
          <w:szCs w:val="20"/>
        </w:rPr>
      </w:pPr>
    </w:p>
    <w:p w14:paraId="355A8A16" w14:textId="77777777" w:rsidR="000443AA" w:rsidRPr="003B2AB8" w:rsidRDefault="000443AA" w:rsidP="00A006B2">
      <w:pPr>
        <w:pStyle w:val="HNewReportNumber"/>
        <w:jc w:val="left"/>
        <w:rPr>
          <w:rFonts w:ascii="Arial" w:hAnsi="Arial"/>
          <w:b w:val="0"/>
          <w:color w:val="auto"/>
          <w:sz w:val="20"/>
          <w:szCs w:val="20"/>
        </w:rPr>
      </w:pPr>
    </w:p>
    <w:p w14:paraId="6D7031E0" w14:textId="77777777" w:rsidR="000443AA" w:rsidRPr="003B2AB8" w:rsidRDefault="000443AA" w:rsidP="00A006B2">
      <w:pPr>
        <w:pStyle w:val="HNewReportNumber"/>
        <w:jc w:val="left"/>
        <w:rPr>
          <w:rFonts w:ascii="Arial" w:hAnsi="Arial"/>
          <w:b w:val="0"/>
          <w:color w:val="auto"/>
          <w:sz w:val="20"/>
          <w:szCs w:val="20"/>
        </w:rPr>
      </w:pPr>
    </w:p>
    <w:p w14:paraId="04364DF2" w14:textId="77777777" w:rsidR="000443AA" w:rsidRPr="003B2AB8" w:rsidRDefault="000443AA" w:rsidP="00A006B2">
      <w:pPr>
        <w:pStyle w:val="HNewReportNumber"/>
        <w:jc w:val="left"/>
        <w:rPr>
          <w:rFonts w:ascii="Arial" w:hAnsi="Arial"/>
          <w:b w:val="0"/>
          <w:color w:val="auto"/>
          <w:sz w:val="20"/>
          <w:szCs w:val="20"/>
        </w:rPr>
      </w:pPr>
    </w:p>
    <w:p w14:paraId="32590239" w14:textId="77777777" w:rsidR="000443AA" w:rsidRPr="003B2AB8" w:rsidRDefault="000443AA" w:rsidP="00A006B2">
      <w:pPr>
        <w:pStyle w:val="HNewReportNumber"/>
        <w:jc w:val="left"/>
        <w:rPr>
          <w:rFonts w:ascii="Arial" w:hAnsi="Arial"/>
          <w:b w:val="0"/>
          <w:color w:val="auto"/>
          <w:sz w:val="20"/>
          <w:szCs w:val="20"/>
        </w:rPr>
      </w:pPr>
    </w:p>
    <w:p w14:paraId="1BB71F39" w14:textId="77777777" w:rsidR="000443AA" w:rsidRPr="003B2AB8" w:rsidRDefault="000443AA" w:rsidP="00A006B2">
      <w:pPr>
        <w:pStyle w:val="HNewReportNumber"/>
        <w:jc w:val="left"/>
        <w:rPr>
          <w:rFonts w:ascii="Arial" w:hAnsi="Arial"/>
          <w:b w:val="0"/>
          <w:color w:val="auto"/>
          <w:sz w:val="20"/>
          <w:szCs w:val="20"/>
        </w:rPr>
      </w:pPr>
    </w:p>
    <w:p w14:paraId="5B35915E" w14:textId="77777777" w:rsidR="000443AA" w:rsidRPr="003B2AB8" w:rsidRDefault="000443AA" w:rsidP="00A006B2">
      <w:pPr>
        <w:pStyle w:val="HNewReportNumber"/>
        <w:jc w:val="left"/>
        <w:rPr>
          <w:rFonts w:ascii="Arial" w:hAnsi="Arial"/>
          <w:b w:val="0"/>
          <w:color w:val="auto"/>
          <w:sz w:val="20"/>
          <w:szCs w:val="20"/>
        </w:rPr>
      </w:pPr>
    </w:p>
    <w:p w14:paraId="31169DD0" w14:textId="77777777" w:rsidR="000443AA" w:rsidRPr="003B2AB8" w:rsidRDefault="000443AA" w:rsidP="00A006B2">
      <w:pPr>
        <w:pStyle w:val="HNewReportNumber"/>
        <w:jc w:val="left"/>
        <w:rPr>
          <w:rFonts w:ascii="Arial" w:hAnsi="Arial"/>
          <w:b w:val="0"/>
          <w:color w:val="auto"/>
          <w:sz w:val="20"/>
          <w:szCs w:val="20"/>
        </w:rPr>
      </w:pPr>
    </w:p>
    <w:p w14:paraId="4BB10629" w14:textId="0DBE9499" w:rsidR="000629E5" w:rsidRPr="003B2AB8" w:rsidRDefault="00652A5A" w:rsidP="000629E5">
      <w:pPr>
        <w:pStyle w:val="HSubtitle"/>
        <w:rPr>
          <w:rFonts w:cs="Times New Roman"/>
          <w:b/>
          <w:color w:val="FFFFFF" w:themeColor="background1"/>
          <w:sz w:val="48"/>
          <w:szCs w:val="48"/>
        </w:rPr>
      </w:pPr>
      <w:r w:rsidRPr="003B2AB8">
        <w:rPr>
          <w:rFonts w:cs="Times New Roman"/>
          <w:b/>
          <w:color w:val="FFFFFF" w:themeColor="background1"/>
          <w:sz w:val="48"/>
          <w:szCs w:val="48"/>
        </w:rPr>
        <w:t>Independent Evaluation of the Validity and Reliability</w:t>
      </w:r>
      <w:r w:rsidR="00407BC3" w:rsidRPr="003B2AB8">
        <w:rPr>
          <w:rFonts w:cs="Times New Roman"/>
          <w:b/>
          <w:color w:val="FFFFFF" w:themeColor="background1"/>
          <w:sz w:val="48"/>
          <w:szCs w:val="48"/>
        </w:rPr>
        <w:t xml:space="preserve"> of STAAR Grades 3-8 Assessment Scores</w:t>
      </w:r>
      <w:r w:rsidR="000629E5" w:rsidRPr="003B2AB8">
        <w:rPr>
          <w:rFonts w:cs="Times New Roman"/>
          <w:b/>
          <w:color w:val="FFFFFF" w:themeColor="background1"/>
          <w:sz w:val="48"/>
          <w:szCs w:val="48"/>
        </w:rPr>
        <w:t xml:space="preserve">: </w:t>
      </w:r>
      <w:r w:rsidR="00DB6D8D">
        <w:rPr>
          <w:rFonts w:cs="Times New Roman"/>
          <w:b/>
          <w:color w:val="FFFFFF" w:themeColor="background1"/>
          <w:sz w:val="48"/>
          <w:szCs w:val="48"/>
        </w:rPr>
        <w:t>Part 1</w:t>
      </w:r>
    </w:p>
    <w:p w14:paraId="61462550" w14:textId="0A4F2A77" w:rsidR="000629E5" w:rsidRPr="003B2AB8" w:rsidRDefault="008B47C8" w:rsidP="000629E5">
      <w:pPr>
        <w:pStyle w:val="HSubtitle"/>
      </w:pPr>
      <w:r w:rsidRPr="003B2AB8">
        <w:t>Final</w:t>
      </w:r>
      <w:r w:rsidR="000629E5" w:rsidRPr="003B2AB8">
        <w:t xml:space="preserve"> Report</w:t>
      </w:r>
    </w:p>
    <w:p w14:paraId="5B1266C5" w14:textId="77777777" w:rsidR="000443AA" w:rsidRPr="003B2AB8" w:rsidRDefault="000443AA" w:rsidP="000629E5">
      <w:pPr>
        <w:pStyle w:val="HNewReportNumber"/>
        <w:jc w:val="left"/>
        <w:rPr>
          <w:rFonts w:ascii="Arial" w:hAnsi="Arial"/>
          <w:b w:val="0"/>
          <w:color w:val="auto"/>
          <w:sz w:val="20"/>
          <w:szCs w:val="20"/>
        </w:rPr>
      </w:pPr>
    </w:p>
    <w:p w14:paraId="6BFD854E" w14:textId="77777777" w:rsidR="000443AA" w:rsidRPr="003B2AB8" w:rsidRDefault="000443AA" w:rsidP="00A006B2">
      <w:pPr>
        <w:pStyle w:val="HNewReportNumber"/>
        <w:jc w:val="left"/>
        <w:rPr>
          <w:rFonts w:ascii="Arial" w:hAnsi="Arial"/>
          <w:b w:val="0"/>
          <w:color w:val="auto"/>
          <w:sz w:val="20"/>
          <w:szCs w:val="20"/>
        </w:rPr>
      </w:pPr>
    </w:p>
    <w:tbl>
      <w:tblPr>
        <w:tblW w:w="10256" w:type="dxa"/>
        <w:tblLayout w:type="fixed"/>
        <w:tblCellMar>
          <w:left w:w="0" w:type="dxa"/>
          <w:right w:w="0" w:type="dxa"/>
        </w:tblCellMar>
        <w:tblLook w:val="01E0" w:firstRow="1" w:lastRow="1" w:firstColumn="1" w:lastColumn="1" w:noHBand="0" w:noVBand="0"/>
      </w:tblPr>
      <w:tblGrid>
        <w:gridCol w:w="1051"/>
        <w:gridCol w:w="4079"/>
        <w:gridCol w:w="900"/>
        <w:gridCol w:w="4226"/>
      </w:tblGrid>
      <w:tr w:rsidR="000629E5" w:rsidRPr="003B2AB8" w14:paraId="4052B931" w14:textId="77777777" w:rsidTr="00B86B9C">
        <w:trPr>
          <w:trHeight w:val="1622"/>
        </w:trPr>
        <w:tc>
          <w:tcPr>
            <w:tcW w:w="1051" w:type="dxa"/>
            <w:tcBorders>
              <w:right w:val="single" w:sz="4" w:space="0" w:color="92D050"/>
            </w:tcBorders>
            <w:shd w:val="clear" w:color="auto" w:fill="auto"/>
            <w:tcMar>
              <w:top w:w="72" w:type="dxa"/>
              <w:left w:w="0" w:type="dxa"/>
              <w:bottom w:w="72" w:type="dxa"/>
              <w:right w:w="86" w:type="dxa"/>
            </w:tcMar>
          </w:tcPr>
          <w:p w14:paraId="77EFF732" w14:textId="77777777" w:rsidR="000629E5" w:rsidRPr="003B2AB8" w:rsidRDefault="000629E5" w:rsidP="00B86B9C">
            <w:pPr>
              <w:jc w:val="right"/>
              <w:rPr>
                <w:rFonts w:ascii="Arial Narrow" w:hAnsi="Arial Narrow"/>
                <w:b/>
                <w:color w:val="92D050"/>
                <w:sz w:val="20"/>
                <w:szCs w:val="20"/>
              </w:rPr>
            </w:pPr>
            <w:r w:rsidRPr="003B2AB8">
              <w:rPr>
                <w:rFonts w:ascii="Arial Narrow" w:hAnsi="Arial Narrow"/>
                <w:b/>
                <w:color w:val="92D050"/>
                <w:sz w:val="20"/>
                <w:szCs w:val="20"/>
              </w:rPr>
              <w:t xml:space="preserve">Prepared </w:t>
            </w:r>
          </w:p>
          <w:p w14:paraId="4BEB2EBA" w14:textId="77777777" w:rsidR="000629E5" w:rsidRPr="003B2AB8" w:rsidRDefault="000629E5" w:rsidP="00B86B9C">
            <w:pPr>
              <w:jc w:val="right"/>
              <w:rPr>
                <w:rFonts w:ascii="Arial Narrow" w:hAnsi="Arial Narrow"/>
                <w:b/>
                <w:color w:val="92D050"/>
                <w:sz w:val="20"/>
                <w:szCs w:val="20"/>
              </w:rPr>
            </w:pPr>
            <w:r w:rsidRPr="003B2AB8">
              <w:rPr>
                <w:rFonts w:ascii="Arial Narrow" w:hAnsi="Arial Narrow"/>
                <w:b/>
                <w:color w:val="92D050"/>
                <w:sz w:val="20"/>
                <w:szCs w:val="20"/>
              </w:rPr>
              <w:t>for:</w:t>
            </w:r>
          </w:p>
        </w:tc>
        <w:tc>
          <w:tcPr>
            <w:tcW w:w="4079" w:type="dxa"/>
            <w:tcBorders>
              <w:left w:val="single" w:sz="4" w:space="0" w:color="92D050"/>
            </w:tcBorders>
            <w:shd w:val="clear" w:color="auto" w:fill="auto"/>
            <w:tcMar>
              <w:left w:w="115" w:type="dxa"/>
              <w:right w:w="0" w:type="dxa"/>
            </w:tcMar>
          </w:tcPr>
          <w:p w14:paraId="186C6F43" w14:textId="22AA5D45" w:rsidR="000629E5" w:rsidRPr="003B2AB8" w:rsidRDefault="003035AA" w:rsidP="00B86B9C">
            <w:pPr>
              <w:pStyle w:val="Titlepagetext"/>
              <w:framePr w:hSpace="0" w:wrap="auto" w:vAnchor="margin" w:hAnchor="text" w:yAlign="inline"/>
              <w:suppressOverlap w:val="0"/>
            </w:pPr>
            <w:r w:rsidRPr="003B2AB8">
              <w:t>Texas Education Agency</w:t>
            </w:r>
          </w:p>
          <w:p w14:paraId="12F52114" w14:textId="77777777" w:rsidR="000629E5" w:rsidRPr="003B2AB8" w:rsidRDefault="003C5BAD" w:rsidP="00B86B9C">
            <w:pPr>
              <w:pStyle w:val="Titlepagetext"/>
              <w:framePr w:hSpace="0" w:wrap="auto" w:vAnchor="margin" w:hAnchor="text" w:yAlign="inline"/>
              <w:suppressOverlap w:val="0"/>
            </w:pPr>
            <w:r w:rsidRPr="003B2AB8">
              <w:t>Student Assessment Division</w:t>
            </w:r>
          </w:p>
          <w:p w14:paraId="6102B788" w14:textId="77777777" w:rsidR="000629E5" w:rsidRPr="003B2AB8" w:rsidRDefault="003C5BAD" w:rsidP="007D0070">
            <w:pPr>
              <w:pStyle w:val="Titlepagetext"/>
              <w:framePr w:hSpace="0" w:wrap="auto" w:vAnchor="margin" w:hAnchor="text" w:yAlign="inline"/>
              <w:suppressOverlap w:val="0"/>
            </w:pPr>
            <w:r w:rsidRPr="003B2AB8">
              <w:t>William B. Travis Building 1701 N.</w:t>
            </w:r>
          </w:p>
          <w:p w14:paraId="4047D03F" w14:textId="77777777" w:rsidR="003C5BAD" w:rsidRPr="003B2AB8" w:rsidRDefault="003C5BAD" w:rsidP="007D0070">
            <w:pPr>
              <w:pStyle w:val="Titlepagetext"/>
              <w:framePr w:hSpace="0" w:wrap="auto" w:vAnchor="margin" w:hAnchor="text" w:yAlign="inline"/>
              <w:suppressOverlap w:val="0"/>
            </w:pPr>
            <w:r w:rsidRPr="003B2AB8">
              <w:t>Congress Avenue Austin, Texas, 78701</w:t>
            </w:r>
          </w:p>
        </w:tc>
        <w:tc>
          <w:tcPr>
            <w:tcW w:w="900" w:type="dxa"/>
            <w:tcBorders>
              <w:right w:val="single" w:sz="4" w:space="0" w:color="92D050"/>
            </w:tcBorders>
            <w:shd w:val="clear" w:color="auto" w:fill="auto"/>
            <w:tcMar>
              <w:top w:w="72" w:type="dxa"/>
              <w:bottom w:w="58" w:type="dxa"/>
              <w:right w:w="86" w:type="dxa"/>
            </w:tcMar>
          </w:tcPr>
          <w:p w14:paraId="1E0CD3AF" w14:textId="77777777" w:rsidR="000629E5" w:rsidRPr="003B2AB8" w:rsidRDefault="000629E5" w:rsidP="00B86B9C">
            <w:pPr>
              <w:jc w:val="right"/>
              <w:rPr>
                <w:rFonts w:ascii="Arial Narrow" w:hAnsi="Arial Narrow"/>
                <w:b/>
                <w:color w:val="92D050"/>
                <w:sz w:val="20"/>
                <w:szCs w:val="20"/>
              </w:rPr>
            </w:pPr>
            <w:r w:rsidRPr="003B2AB8">
              <w:rPr>
                <w:rFonts w:ascii="Arial Narrow" w:hAnsi="Arial Narrow"/>
                <w:b/>
                <w:color w:val="92D050"/>
                <w:sz w:val="20"/>
                <w:szCs w:val="20"/>
              </w:rPr>
              <w:t>Prepared under:</w:t>
            </w:r>
          </w:p>
        </w:tc>
        <w:tc>
          <w:tcPr>
            <w:tcW w:w="4226" w:type="dxa"/>
            <w:tcBorders>
              <w:left w:val="single" w:sz="4" w:space="0" w:color="92D050"/>
            </w:tcBorders>
            <w:shd w:val="clear" w:color="auto" w:fill="auto"/>
            <w:tcMar>
              <w:left w:w="115" w:type="dxa"/>
            </w:tcMar>
          </w:tcPr>
          <w:p w14:paraId="6D21AF65" w14:textId="135644A7" w:rsidR="000629E5" w:rsidRPr="003B2AB8" w:rsidRDefault="008B47C8" w:rsidP="00B86B9C">
            <w:pPr>
              <w:pStyle w:val="Titlepagetext"/>
              <w:framePr w:hSpace="0" w:wrap="auto" w:vAnchor="margin" w:hAnchor="text" w:yAlign="inline"/>
              <w:suppressOverlap w:val="0"/>
            </w:pPr>
            <w:r w:rsidRPr="003B2AB8">
              <w:t>Contract # 3436</w:t>
            </w:r>
          </w:p>
        </w:tc>
      </w:tr>
      <w:tr w:rsidR="000629E5" w:rsidRPr="003B2AB8" w14:paraId="2E3C2836" w14:textId="77777777" w:rsidTr="00B86B9C">
        <w:trPr>
          <w:trHeight w:val="678"/>
        </w:trPr>
        <w:tc>
          <w:tcPr>
            <w:tcW w:w="1051" w:type="dxa"/>
            <w:tcBorders>
              <w:right w:val="single" w:sz="4" w:space="0" w:color="92D050"/>
            </w:tcBorders>
            <w:shd w:val="clear" w:color="auto" w:fill="auto"/>
            <w:tcMar>
              <w:top w:w="72" w:type="dxa"/>
              <w:left w:w="0" w:type="dxa"/>
              <w:bottom w:w="72" w:type="dxa"/>
              <w:right w:w="86" w:type="dxa"/>
            </w:tcMar>
          </w:tcPr>
          <w:p w14:paraId="40975E40" w14:textId="2D6233BF" w:rsidR="000629E5" w:rsidRPr="003B2AB8" w:rsidRDefault="00A05A5B" w:rsidP="00B86B9C">
            <w:pPr>
              <w:jc w:val="right"/>
              <w:rPr>
                <w:rFonts w:ascii="Arial Narrow" w:hAnsi="Arial Narrow"/>
                <w:b/>
                <w:color w:val="92D050"/>
                <w:sz w:val="20"/>
                <w:szCs w:val="20"/>
              </w:rPr>
            </w:pPr>
            <w:r>
              <w:rPr>
                <w:rFonts w:ascii="Arial Narrow" w:hAnsi="Arial Narrow"/>
                <w:b/>
                <w:color w:val="92D050"/>
                <w:sz w:val="20"/>
                <w:szCs w:val="20"/>
              </w:rPr>
              <w:t>Prepared by:</w:t>
            </w:r>
          </w:p>
        </w:tc>
        <w:tc>
          <w:tcPr>
            <w:tcW w:w="4079" w:type="dxa"/>
            <w:tcBorders>
              <w:left w:val="single" w:sz="4" w:space="0" w:color="92D050"/>
            </w:tcBorders>
            <w:shd w:val="clear" w:color="auto" w:fill="auto"/>
            <w:tcMar>
              <w:left w:w="115" w:type="dxa"/>
              <w:right w:w="0" w:type="dxa"/>
            </w:tcMar>
          </w:tcPr>
          <w:p w14:paraId="428AA793" w14:textId="77777777" w:rsidR="000629E5" w:rsidRPr="003B2AB8" w:rsidRDefault="003035AA" w:rsidP="00B86B9C">
            <w:pPr>
              <w:pStyle w:val="Titlepagetext"/>
              <w:framePr w:hSpace="0" w:wrap="auto" w:vAnchor="margin" w:hAnchor="text" w:yAlign="inline"/>
              <w:suppressOverlap w:val="0"/>
            </w:pPr>
            <w:r w:rsidRPr="003B2AB8">
              <w:t>Human Resources Research Organization</w:t>
            </w:r>
          </w:p>
          <w:p w14:paraId="391B4618" w14:textId="598695BD" w:rsidR="003035AA" w:rsidRPr="003B2AB8" w:rsidRDefault="003035AA" w:rsidP="00B86B9C">
            <w:pPr>
              <w:pStyle w:val="Titlepagetext"/>
              <w:framePr w:hSpace="0" w:wrap="auto" w:vAnchor="margin" w:hAnchor="text" w:yAlign="inline"/>
              <w:suppressOverlap w:val="0"/>
            </w:pPr>
            <w:r w:rsidRPr="003B2AB8">
              <w:t>(HumRRO)</w:t>
            </w:r>
          </w:p>
        </w:tc>
        <w:tc>
          <w:tcPr>
            <w:tcW w:w="900" w:type="dxa"/>
            <w:tcBorders>
              <w:right w:val="single" w:sz="4" w:space="0" w:color="92D050"/>
            </w:tcBorders>
            <w:shd w:val="clear" w:color="auto" w:fill="auto"/>
            <w:tcMar>
              <w:top w:w="72" w:type="dxa"/>
              <w:bottom w:w="58" w:type="dxa"/>
              <w:right w:w="86" w:type="dxa"/>
            </w:tcMar>
          </w:tcPr>
          <w:p w14:paraId="665CDD42" w14:textId="77777777" w:rsidR="000629E5" w:rsidRPr="003B2AB8" w:rsidRDefault="000629E5" w:rsidP="00B86B9C">
            <w:pPr>
              <w:jc w:val="right"/>
              <w:rPr>
                <w:rFonts w:ascii="Arial Narrow" w:hAnsi="Arial Narrow"/>
                <w:b/>
                <w:color w:val="92D050"/>
                <w:sz w:val="20"/>
                <w:szCs w:val="20"/>
              </w:rPr>
            </w:pPr>
            <w:r w:rsidRPr="003B2AB8">
              <w:rPr>
                <w:rFonts w:ascii="Arial Narrow" w:hAnsi="Arial Narrow"/>
                <w:b/>
                <w:color w:val="92D050"/>
                <w:sz w:val="20"/>
                <w:szCs w:val="20"/>
              </w:rPr>
              <w:t xml:space="preserve">Date: </w:t>
            </w:r>
          </w:p>
          <w:p w14:paraId="13A12550" w14:textId="77777777" w:rsidR="000629E5" w:rsidRPr="003B2AB8" w:rsidRDefault="000629E5" w:rsidP="00B86B9C">
            <w:pPr>
              <w:rPr>
                <w:rFonts w:ascii="Arial Narrow" w:hAnsi="Arial Narrow"/>
                <w:b/>
                <w:color w:val="92D050"/>
                <w:sz w:val="20"/>
                <w:szCs w:val="20"/>
              </w:rPr>
            </w:pPr>
          </w:p>
        </w:tc>
        <w:tc>
          <w:tcPr>
            <w:tcW w:w="4226" w:type="dxa"/>
            <w:tcBorders>
              <w:left w:val="single" w:sz="4" w:space="0" w:color="92D050"/>
            </w:tcBorders>
            <w:shd w:val="clear" w:color="auto" w:fill="auto"/>
            <w:tcMar>
              <w:left w:w="115" w:type="dxa"/>
            </w:tcMar>
          </w:tcPr>
          <w:p w14:paraId="28213CF7" w14:textId="43680EA8" w:rsidR="000629E5" w:rsidRPr="003B2AB8" w:rsidRDefault="00E2363C" w:rsidP="00B86B9C">
            <w:pPr>
              <w:pStyle w:val="Titlepagetext"/>
              <w:framePr w:hSpace="0" w:wrap="auto" w:vAnchor="margin" w:hAnchor="text" w:yAlign="inline"/>
              <w:suppressOverlap w:val="0"/>
            </w:pPr>
            <w:r w:rsidRPr="003B2AB8">
              <w:t>March 21</w:t>
            </w:r>
            <w:r w:rsidR="007D0070" w:rsidRPr="003B2AB8">
              <w:t>, 2016</w:t>
            </w:r>
          </w:p>
          <w:p w14:paraId="1E2C8D79" w14:textId="77777777" w:rsidR="000629E5" w:rsidRPr="003B2AB8" w:rsidRDefault="000629E5" w:rsidP="00B86B9C">
            <w:pPr>
              <w:pStyle w:val="Titlepagetext"/>
              <w:framePr w:hSpace="0" w:wrap="auto" w:vAnchor="margin" w:hAnchor="text" w:yAlign="inline"/>
              <w:suppressOverlap w:val="0"/>
            </w:pPr>
          </w:p>
        </w:tc>
      </w:tr>
    </w:tbl>
    <w:p w14:paraId="54DF5D82" w14:textId="5C4B8DAA" w:rsidR="000443AA" w:rsidRPr="003B2AB8" w:rsidRDefault="000443AA" w:rsidP="00A006B2">
      <w:pPr>
        <w:pStyle w:val="HNewReportNumber"/>
        <w:jc w:val="left"/>
        <w:rPr>
          <w:rFonts w:ascii="Arial" w:hAnsi="Arial"/>
          <w:b w:val="0"/>
          <w:color w:val="auto"/>
          <w:sz w:val="20"/>
          <w:szCs w:val="20"/>
        </w:rPr>
      </w:pPr>
    </w:p>
    <w:p w14:paraId="18131F6B" w14:textId="77777777" w:rsidR="000629E5" w:rsidRPr="003B2AB8" w:rsidRDefault="000629E5" w:rsidP="00A006B2">
      <w:pPr>
        <w:pStyle w:val="HNewReportNumber"/>
        <w:jc w:val="left"/>
        <w:rPr>
          <w:rFonts w:ascii="Arial" w:hAnsi="Arial"/>
          <w:b w:val="0"/>
          <w:color w:val="auto"/>
          <w:sz w:val="20"/>
          <w:szCs w:val="20"/>
        </w:rPr>
      </w:pPr>
    </w:p>
    <w:p w14:paraId="30A90185" w14:textId="77777777" w:rsidR="000629E5" w:rsidRPr="003B2AB8" w:rsidRDefault="000629E5" w:rsidP="00A006B2">
      <w:pPr>
        <w:pStyle w:val="HNewReportNumber"/>
        <w:jc w:val="left"/>
        <w:rPr>
          <w:rFonts w:ascii="Arial" w:hAnsi="Arial"/>
          <w:b w:val="0"/>
          <w:color w:val="auto"/>
          <w:sz w:val="20"/>
          <w:szCs w:val="20"/>
        </w:rPr>
      </w:pPr>
    </w:p>
    <w:p w14:paraId="5EAC2740" w14:textId="77777777" w:rsidR="000629E5" w:rsidRPr="003B2AB8" w:rsidRDefault="000629E5" w:rsidP="00A006B2">
      <w:pPr>
        <w:pStyle w:val="HNewReportNumber"/>
        <w:jc w:val="left"/>
        <w:rPr>
          <w:rFonts w:ascii="Arial" w:hAnsi="Arial"/>
          <w:b w:val="0"/>
          <w:color w:val="auto"/>
          <w:sz w:val="20"/>
          <w:szCs w:val="20"/>
        </w:rPr>
      </w:pPr>
    </w:p>
    <w:p w14:paraId="0D6ABD96" w14:textId="77777777" w:rsidR="000629E5" w:rsidRPr="003B2AB8" w:rsidRDefault="000629E5" w:rsidP="00A006B2">
      <w:pPr>
        <w:pStyle w:val="HNewReportNumber"/>
        <w:jc w:val="left"/>
        <w:rPr>
          <w:rFonts w:ascii="Arial" w:hAnsi="Arial"/>
          <w:b w:val="0"/>
          <w:color w:val="auto"/>
          <w:sz w:val="20"/>
          <w:szCs w:val="20"/>
        </w:rPr>
      </w:pPr>
    </w:p>
    <w:p w14:paraId="52F7D638" w14:textId="77777777" w:rsidR="000629E5" w:rsidRPr="003B2AB8" w:rsidRDefault="000629E5" w:rsidP="00A006B2">
      <w:pPr>
        <w:pStyle w:val="HNewReportNumber"/>
        <w:jc w:val="left"/>
        <w:rPr>
          <w:rFonts w:ascii="Arial" w:hAnsi="Arial"/>
          <w:b w:val="0"/>
          <w:color w:val="auto"/>
          <w:sz w:val="20"/>
          <w:szCs w:val="20"/>
        </w:rPr>
      </w:pPr>
    </w:p>
    <w:p w14:paraId="08E1FB10" w14:textId="77777777" w:rsidR="000629E5" w:rsidRPr="003B2AB8" w:rsidRDefault="000629E5" w:rsidP="00A006B2">
      <w:pPr>
        <w:pStyle w:val="HNewReportNumber"/>
        <w:jc w:val="left"/>
        <w:rPr>
          <w:rFonts w:ascii="Arial" w:hAnsi="Arial"/>
          <w:b w:val="0"/>
          <w:color w:val="auto"/>
          <w:sz w:val="20"/>
          <w:szCs w:val="20"/>
        </w:rPr>
      </w:pPr>
    </w:p>
    <w:p w14:paraId="60694AAF" w14:textId="77777777" w:rsidR="000443AA" w:rsidRPr="003B2AB8" w:rsidRDefault="000629E5" w:rsidP="00A006B2">
      <w:pPr>
        <w:pStyle w:val="HNewReportNumber"/>
        <w:jc w:val="left"/>
        <w:rPr>
          <w:rFonts w:ascii="Arial" w:hAnsi="Arial"/>
          <w:b w:val="0"/>
          <w:color w:val="auto"/>
          <w:sz w:val="20"/>
          <w:szCs w:val="20"/>
        </w:rPr>
      </w:pPr>
      <w:r w:rsidRPr="003B2AB8">
        <w:rPr>
          <w:rFonts w:ascii="Arial" w:eastAsia="Arial" w:hAnsi="Arial"/>
          <w:b w:val="0"/>
          <w:noProof/>
          <w:color w:val="000000"/>
          <w:szCs w:val="22"/>
        </w:rPr>
        <mc:AlternateContent>
          <mc:Choice Requires="wps">
            <w:drawing>
              <wp:anchor distT="0" distB="0" distL="114300" distR="114300" simplePos="0" relativeHeight="251661312" behindDoc="0" locked="1" layoutInCell="0" hidden="0" allowOverlap="1" wp14:anchorId="1CDC14ED" wp14:editId="421B9A85">
                <wp:simplePos x="0" y="0"/>
                <wp:positionH relativeFrom="margin">
                  <wp:posOffset>-722630</wp:posOffset>
                </wp:positionH>
                <wp:positionV relativeFrom="page">
                  <wp:posOffset>9537065</wp:posOffset>
                </wp:positionV>
                <wp:extent cx="7379208" cy="365760"/>
                <wp:effectExtent l="0" t="0" r="0" b="0"/>
                <wp:wrapNone/>
                <wp:docPr id="8" name="Rectangle 8"/>
                <wp:cNvGraphicFramePr/>
                <a:graphic xmlns:a="http://schemas.openxmlformats.org/drawingml/2006/main">
                  <a:graphicData uri="http://schemas.microsoft.com/office/word/2010/wordprocessingShape">
                    <wps:wsp>
                      <wps:cNvSpPr/>
                      <wps:spPr>
                        <a:xfrm>
                          <a:off x="0" y="0"/>
                          <a:ext cx="7379208" cy="365760"/>
                        </a:xfrm>
                        <a:prstGeom prst="rect">
                          <a:avLst/>
                        </a:prstGeom>
                        <a:noFill/>
                        <a:ln>
                          <a:noFill/>
                        </a:ln>
                      </wps:spPr>
                      <wps:txbx>
                        <w:txbxContent>
                          <w:p w14:paraId="6CC0AA81" w14:textId="77777777" w:rsidR="00A05A5B" w:rsidRPr="008034BC" w:rsidRDefault="00A05A5B" w:rsidP="000629E5">
                            <w:pPr>
                              <w:pStyle w:val="Normal1"/>
                              <w:jc w:val="center"/>
                              <w:textDirection w:val="btLr"/>
                              <w:rPr>
                                <w:color w:val="FFFFFF" w:themeColor="background1"/>
                              </w:rPr>
                            </w:pPr>
                            <w:r w:rsidRPr="008034BC">
                              <w:rPr>
                                <w:rFonts w:ascii="Arial Narrow" w:eastAsia="Arial Narrow" w:hAnsi="Arial Narrow" w:cs="Arial Narrow"/>
                                <w:b/>
                                <w:color w:val="FFFFFF" w:themeColor="background1"/>
                                <w:sz w:val="21"/>
                              </w:rPr>
                              <w:t>Headquarters: 66 Canal Center Plaza, Suite 700, Alexandria, VA 22314  |  Phone: 703.549.3611  |  Fax: 703.549.9025  |</w:t>
                            </w:r>
                            <w:r w:rsidRPr="008034BC">
                              <w:rPr>
                                <w:rFonts w:ascii="Arial Narrow" w:eastAsia="Arial Narrow" w:hAnsi="Arial Narrow" w:cs="Arial Narrow"/>
                                <w:color w:val="FFFFFF" w:themeColor="background1"/>
                                <w:sz w:val="21"/>
                              </w:rPr>
                              <w:t xml:space="preserve">  </w:t>
                            </w:r>
                            <w:r w:rsidRPr="008034BC">
                              <w:rPr>
                                <w:b/>
                                <w:color w:val="FFFFFF" w:themeColor="background1"/>
                                <w:sz w:val="21"/>
                              </w:rPr>
                              <w:t>humrro.org</w:t>
                            </w:r>
                          </w:p>
                        </w:txbxContent>
                      </wps:txbx>
                      <wps:bodyPr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1CDC14ED" id="Rectangle 8" o:spid="_x0000_s1026" style="position:absolute;margin-left:-56.9pt;margin-top:750.95pt;width:581.05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" o:allowincell="f" filled="f" stroked="f">
                <v:textbox inset="2.53958mm,1.2694mm,2.53958mm,1.2694mm">
                  <w:txbxContent>
                    <w:p w14:paraId="6CC0AA81" w14:textId="77777777" w:rsidR="00A05A5B" w:rsidRPr="008034BC" w:rsidRDefault="00A05A5B" w:rsidP="000629E5">
                      <w:pPr>
                        <w:pStyle w:val="Normal1"/>
                        <w:jc w:val="center"/>
                        <w:textDirection w:val="btLr"/>
                        <w:rPr>
                          <w:color w:val="FFFFFF" w:themeColor="background1"/>
                        </w:rPr>
                      </w:pPr>
                      <w:r w:rsidRPr="008034BC">
                        <w:rPr>
                          <w:rFonts w:ascii="Arial Narrow" w:eastAsia="Arial Narrow" w:hAnsi="Arial Narrow" w:cs="Arial Narrow"/>
                          <w:b/>
                          <w:color w:val="FFFFFF" w:themeColor="background1"/>
                          <w:sz w:val="21"/>
                        </w:rPr>
                        <w:t>Headquarters: 66 Canal Center Plaza, Suite 700, Alexandria, VA 22314  |  Phone: 703.549.3611  |  Fax: 703.549.9025  |</w:t>
                      </w:r>
                      <w:r w:rsidRPr="008034BC">
                        <w:rPr>
                          <w:rFonts w:ascii="Arial Narrow" w:eastAsia="Arial Narrow" w:hAnsi="Arial Narrow" w:cs="Arial Narrow"/>
                          <w:color w:val="FFFFFF" w:themeColor="background1"/>
                          <w:sz w:val="21"/>
                        </w:rPr>
                        <w:t xml:space="preserve">  </w:t>
                      </w:r>
                      <w:r w:rsidRPr="008034BC">
                        <w:rPr>
                          <w:b/>
                          <w:color w:val="FFFFFF" w:themeColor="background1"/>
                          <w:sz w:val="21"/>
                        </w:rPr>
                        <w:t>humrro.org</w:t>
                      </w:r>
                    </w:p>
                  </w:txbxContent>
                </v:textbox>
                <w10:wrap anchorx="margin" anchory="page"/>
                <w10:anchorlock/>
              </v:rect>
            </w:pict>
          </mc:Fallback>
        </mc:AlternateContent>
      </w:r>
    </w:p>
    <w:p w14:paraId="42630C6B" w14:textId="77777777" w:rsidR="000443AA" w:rsidRPr="003B2AB8" w:rsidRDefault="000443AA" w:rsidP="00A006B2">
      <w:pPr>
        <w:pStyle w:val="HNewReportNumber"/>
        <w:jc w:val="left"/>
        <w:rPr>
          <w:rFonts w:ascii="Arial" w:hAnsi="Arial"/>
          <w:b w:val="0"/>
          <w:color w:val="auto"/>
          <w:sz w:val="20"/>
          <w:szCs w:val="20"/>
        </w:rPr>
        <w:sectPr w:rsidR="000443AA" w:rsidRPr="003B2AB8" w:rsidSect="000443AA">
          <w:footerReference w:type="default" r:id="rId9"/>
          <w:pgSz w:w="12240" w:h="15840" w:code="1"/>
          <w:pgMar w:top="792" w:right="1440" w:bottom="1440" w:left="1440" w:header="576" w:footer="720" w:gutter="0"/>
          <w:pgNumType w:start="1"/>
          <w:cols w:space="720"/>
          <w:docGrid w:linePitch="299"/>
        </w:sectPr>
      </w:pPr>
    </w:p>
    <w:p w14:paraId="6CE02D79" w14:textId="07D69EFE" w:rsidR="00652A5A" w:rsidRPr="003B2AB8" w:rsidRDefault="00652A5A" w:rsidP="00652A5A">
      <w:pPr>
        <w:pStyle w:val="HReportTitle"/>
        <w:rPr>
          <w:sz w:val="28"/>
          <w:szCs w:val="28"/>
        </w:rPr>
      </w:pPr>
      <w:r w:rsidRPr="003B2AB8">
        <w:rPr>
          <w:sz w:val="28"/>
          <w:szCs w:val="28"/>
        </w:rPr>
        <w:lastRenderedPageBreak/>
        <w:t xml:space="preserve">Independent Evaluation of the Validity and Reliability of STAAR Grades 3-8 </w:t>
      </w:r>
      <w:r w:rsidR="00407BC3" w:rsidRPr="003B2AB8">
        <w:rPr>
          <w:sz w:val="28"/>
          <w:szCs w:val="28"/>
        </w:rPr>
        <w:t>Assessment Scores</w:t>
      </w:r>
      <w:r w:rsidRPr="003B2AB8">
        <w:rPr>
          <w:sz w:val="28"/>
          <w:szCs w:val="28"/>
        </w:rPr>
        <w:t xml:space="preserve">: </w:t>
      </w:r>
      <w:r w:rsidR="00DB6D8D">
        <w:rPr>
          <w:sz w:val="28"/>
          <w:szCs w:val="28"/>
        </w:rPr>
        <w:t>Part 1</w:t>
      </w:r>
    </w:p>
    <w:p w14:paraId="6F3D7B88" w14:textId="77777777" w:rsidR="000443AA" w:rsidRPr="003B2AB8" w:rsidRDefault="000443AA" w:rsidP="00A006B2">
      <w:pPr>
        <w:pStyle w:val="HNewReportNumber"/>
        <w:jc w:val="left"/>
        <w:rPr>
          <w:rFonts w:ascii="Arial" w:hAnsi="Arial"/>
          <w:b w:val="0"/>
          <w:color w:val="auto"/>
          <w:sz w:val="20"/>
          <w:szCs w:val="20"/>
        </w:rPr>
      </w:pPr>
    </w:p>
    <w:p w14:paraId="24B904EC" w14:textId="77777777" w:rsidR="000629E5" w:rsidRPr="003B2AB8" w:rsidRDefault="000629E5" w:rsidP="000629E5">
      <w:pPr>
        <w:jc w:val="center"/>
        <w:rPr>
          <w:b/>
          <w:color w:val="669933"/>
          <w:kern w:val="20"/>
        </w:rPr>
      </w:pPr>
      <w:bookmarkStart w:id="1" w:name="_Toc316914354"/>
      <w:bookmarkStart w:id="2" w:name="_Toc316915144"/>
      <w:bookmarkStart w:id="3" w:name="_Toc316915796"/>
      <w:r w:rsidRPr="003B2AB8">
        <w:rPr>
          <w:b/>
          <w:color w:val="669933"/>
          <w:kern w:val="20"/>
        </w:rPr>
        <w:t>Table of Contents</w:t>
      </w:r>
      <w:bookmarkEnd w:id="1"/>
      <w:bookmarkEnd w:id="2"/>
      <w:bookmarkEnd w:id="3"/>
    </w:p>
    <w:p w14:paraId="3079E13A" w14:textId="77777777" w:rsidR="00A05A5B" w:rsidRDefault="003F2942">
      <w:pPr>
        <w:pStyle w:val="TOC1"/>
        <w:rPr>
          <w:rFonts w:asciiTheme="minorHAnsi" w:eastAsiaTheme="minorEastAsia" w:hAnsiTheme="minorHAnsi" w:cstheme="minorBidi"/>
          <w:noProof/>
          <w:szCs w:val="22"/>
        </w:rPr>
      </w:pPr>
      <w:r w:rsidRPr="003B2AB8">
        <w:rPr>
          <w:sz w:val="20"/>
          <w:szCs w:val="20"/>
        </w:rPr>
        <w:fldChar w:fldCharType="begin"/>
      </w:r>
      <w:r w:rsidRPr="003B2AB8">
        <w:rPr>
          <w:sz w:val="20"/>
          <w:szCs w:val="20"/>
        </w:rPr>
        <w:instrText xml:space="preserve"> TOC \h \z \t "H_Level 1,1,H_Level 2,2,H_Level 3,3" </w:instrText>
      </w:r>
      <w:r w:rsidRPr="003B2AB8">
        <w:rPr>
          <w:sz w:val="20"/>
          <w:szCs w:val="20"/>
        </w:rPr>
        <w:fldChar w:fldCharType="separate"/>
      </w:r>
      <w:hyperlink w:anchor="_Toc446343608" w:history="1">
        <w:r w:rsidR="00A05A5B" w:rsidRPr="003160B7">
          <w:rPr>
            <w:rStyle w:val="Hyperlink"/>
            <w:noProof/>
          </w:rPr>
          <w:t>Executive Summary</w:t>
        </w:r>
        <w:r w:rsidR="00A05A5B">
          <w:rPr>
            <w:noProof/>
            <w:webHidden/>
          </w:rPr>
          <w:tab/>
        </w:r>
        <w:r w:rsidR="00A05A5B">
          <w:rPr>
            <w:noProof/>
            <w:webHidden/>
          </w:rPr>
          <w:fldChar w:fldCharType="begin"/>
        </w:r>
        <w:r w:rsidR="00A05A5B">
          <w:rPr>
            <w:noProof/>
            <w:webHidden/>
          </w:rPr>
          <w:instrText xml:space="preserve"> PAGEREF _Toc446343608 \h </w:instrText>
        </w:r>
        <w:r w:rsidR="00A05A5B">
          <w:rPr>
            <w:noProof/>
            <w:webHidden/>
          </w:rPr>
        </w:r>
        <w:r w:rsidR="00A05A5B">
          <w:rPr>
            <w:noProof/>
            <w:webHidden/>
          </w:rPr>
          <w:fldChar w:fldCharType="separate"/>
        </w:r>
        <w:r w:rsidR="00B440A7">
          <w:rPr>
            <w:noProof/>
            <w:webHidden/>
          </w:rPr>
          <w:t>iii</w:t>
        </w:r>
        <w:r w:rsidR="00A05A5B">
          <w:rPr>
            <w:noProof/>
            <w:webHidden/>
          </w:rPr>
          <w:fldChar w:fldCharType="end"/>
        </w:r>
      </w:hyperlink>
    </w:p>
    <w:p w14:paraId="4EC23028" w14:textId="77777777" w:rsidR="00A05A5B" w:rsidRDefault="00E2443B">
      <w:pPr>
        <w:pStyle w:val="TOC1"/>
        <w:rPr>
          <w:rFonts w:asciiTheme="minorHAnsi" w:eastAsiaTheme="minorEastAsia" w:hAnsiTheme="minorHAnsi" w:cstheme="minorBidi"/>
          <w:noProof/>
          <w:szCs w:val="22"/>
        </w:rPr>
      </w:pPr>
      <w:hyperlink w:anchor="_Toc446343609" w:history="1">
        <w:r w:rsidR="00A05A5B" w:rsidRPr="003160B7">
          <w:rPr>
            <w:rStyle w:val="Hyperlink"/>
            <w:noProof/>
          </w:rPr>
          <w:t>Overview of Validity and Reliability</w:t>
        </w:r>
        <w:r w:rsidR="00A05A5B">
          <w:rPr>
            <w:noProof/>
            <w:webHidden/>
          </w:rPr>
          <w:tab/>
        </w:r>
        <w:r w:rsidR="00A05A5B">
          <w:rPr>
            <w:noProof/>
            <w:webHidden/>
          </w:rPr>
          <w:fldChar w:fldCharType="begin"/>
        </w:r>
        <w:r w:rsidR="00A05A5B">
          <w:rPr>
            <w:noProof/>
            <w:webHidden/>
          </w:rPr>
          <w:instrText xml:space="preserve"> PAGEREF _Toc446343609 \h </w:instrText>
        </w:r>
        <w:r w:rsidR="00A05A5B">
          <w:rPr>
            <w:noProof/>
            <w:webHidden/>
          </w:rPr>
        </w:r>
        <w:r w:rsidR="00A05A5B">
          <w:rPr>
            <w:noProof/>
            <w:webHidden/>
          </w:rPr>
          <w:fldChar w:fldCharType="separate"/>
        </w:r>
        <w:r w:rsidR="00B440A7">
          <w:rPr>
            <w:noProof/>
            <w:webHidden/>
          </w:rPr>
          <w:t>1</w:t>
        </w:r>
        <w:r w:rsidR="00A05A5B">
          <w:rPr>
            <w:noProof/>
            <w:webHidden/>
          </w:rPr>
          <w:fldChar w:fldCharType="end"/>
        </w:r>
      </w:hyperlink>
    </w:p>
    <w:p w14:paraId="0ABE5051" w14:textId="77777777" w:rsidR="00A05A5B" w:rsidRDefault="00E2443B">
      <w:pPr>
        <w:pStyle w:val="TOC2"/>
        <w:rPr>
          <w:rFonts w:asciiTheme="minorHAnsi" w:eastAsiaTheme="minorEastAsia" w:hAnsiTheme="minorHAnsi" w:cstheme="minorBidi"/>
          <w:noProof/>
          <w:szCs w:val="22"/>
        </w:rPr>
      </w:pPr>
      <w:hyperlink w:anchor="_Toc446343610" w:history="1">
        <w:r w:rsidR="00A05A5B" w:rsidRPr="003160B7">
          <w:rPr>
            <w:rStyle w:val="Hyperlink"/>
            <w:noProof/>
          </w:rPr>
          <w:t>Validity</w:t>
        </w:r>
        <w:r w:rsidR="00A05A5B">
          <w:rPr>
            <w:noProof/>
            <w:webHidden/>
          </w:rPr>
          <w:tab/>
        </w:r>
        <w:r w:rsidR="00A05A5B">
          <w:rPr>
            <w:noProof/>
            <w:webHidden/>
          </w:rPr>
          <w:fldChar w:fldCharType="begin"/>
        </w:r>
        <w:r w:rsidR="00A05A5B">
          <w:rPr>
            <w:noProof/>
            <w:webHidden/>
          </w:rPr>
          <w:instrText xml:space="preserve"> PAGEREF _Toc446343610 \h </w:instrText>
        </w:r>
        <w:r w:rsidR="00A05A5B">
          <w:rPr>
            <w:noProof/>
            <w:webHidden/>
          </w:rPr>
        </w:r>
        <w:r w:rsidR="00A05A5B">
          <w:rPr>
            <w:noProof/>
            <w:webHidden/>
          </w:rPr>
          <w:fldChar w:fldCharType="separate"/>
        </w:r>
        <w:r w:rsidR="00B440A7">
          <w:rPr>
            <w:noProof/>
            <w:webHidden/>
          </w:rPr>
          <w:t>1</w:t>
        </w:r>
        <w:r w:rsidR="00A05A5B">
          <w:rPr>
            <w:noProof/>
            <w:webHidden/>
          </w:rPr>
          <w:fldChar w:fldCharType="end"/>
        </w:r>
      </w:hyperlink>
    </w:p>
    <w:p w14:paraId="421BE87A" w14:textId="77777777" w:rsidR="00A05A5B" w:rsidRDefault="00E2443B">
      <w:pPr>
        <w:pStyle w:val="TOC2"/>
        <w:rPr>
          <w:rFonts w:asciiTheme="minorHAnsi" w:eastAsiaTheme="minorEastAsia" w:hAnsiTheme="minorHAnsi" w:cstheme="minorBidi"/>
          <w:noProof/>
          <w:szCs w:val="22"/>
        </w:rPr>
      </w:pPr>
      <w:hyperlink w:anchor="_Toc446343611" w:history="1">
        <w:r w:rsidR="00A05A5B" w:rsidRPr="003160B7">
          <w:rPr>
            <w:rStyle w:val="Hyperlink"/>
            <w:noProof/>
          </w:rPr>
          <w:t>Reliability</w:t>
        </w:r>
        <w:r w:rsidR="00A05A5B">
          <w:rPr>
            <w:noProof/>
            <w:webHidden/>
          </w:rPr>
          <w:tab/>
        </w:r>
        <w:r w:rsidR="00A05A5B">
          <w:rPr>
            <w:noProof/>
            <w:webHidden/>
          </w:rPr>
          <w:fldChar w:fldCharType="begin"/>
        </w:r>
        <w:r w:rsidR="00A05A5B">
          <w:rPr>
            <w:noProof/>
            <w:webHidden/>
          </w:rPr>
          <w:instrText xml:space="preserve"> PAGEREF _Toc446343611 \h </w:instrText>
        </w:r>
        <w:r w:rsidR="00A05A5B">
          <w:rPr>
            <w:noProof/>
            <w:webHidden/>
          </w:rPr>
        </w:r>
        <w:r w:rsidR="00A05A5B">
          <w:rPr>
            <w:noProof/>
            <w:webHidden/>
          </w:rPr>
          <w:fldChar w:fldCharType="separate"/>
        </w:r>
        <w:r w:rsidR="00B440A7">
          <w:rPr>
            <w:noProof/>
            <w:webHidden/>
          </w:rPr>
          <w:t>2</w:t>
        </w:r>
        <w:r w:rsidR="00A05A5B">
          <w:rPr>
            <w:noProof/>
            <w:webHidden/>
          </w:rPr>
          <w:fldChar w:fldCharType="end"/>
        </w:r>
      </w:hyperlink>
    </w:p>
    <w:p w14:paraId="43B25AE0" w14:textId="77777777" w:rsidR="00A05A5B" w:rsidRDefault="00E2443B">
      <w:pPr>
        <w:pStyle w:val="TOC1"/>
        <w:rPr>
          <w:rFonts w:asciiTheme="minorHAnsi" w:eastAsiaTheme="minorEastAsia" w:hAnsiTheme="minorHAnsi" w:cstheme="minorBidi"/>
          <w:noProof/>
          <w:szCs w:val="22"/>
        </w:rPr>
      </w:pPr>
      <w:hyperlink w:anchor="_Toc446343612" w:history="1">
        <w:r w:rsidR="00A05A5B" w:rsidRPr="003160B7">
          <w:rPr>
            <w:rStyle w:val="Hyperlink"/>
            <w:noProof/>
          </w:rPr>
          <w:t>Task 1: Content Review</w:t>
        </w:r>
        <w:r w:rsidR="00A05A5B">
          <w:rPr>
            <w:noProof/>
            <w:webHidden/>
          </w:rPr>
          <w:tab/>
        </w:r>
        <w:r w:rsidR="00A05A5B">
          <w:rPr>
            <w:noProof/>
            <w:webHidden/>
          </w:rPr>
          <w:fldChar w:fldCharType="begin"/>
        </w:r>
        <w:r w:rsidR="00A05A5B">
          <w:rPr>
            <w:noProof/>
            <w:webHidden/>
          </w:rPr>
          <w:instrText xml:space="preserve"> PAGEREF _Toc446343612 \h </w:instrText>
        </w:r>
        <w:r w:rsidR="00A05A5B">
          <w:rPr>
            <w:noProof/>
            <w:webHidden/>
          </w:rPr>
        </w:r>
        <w:r w:rsidR="00A05A5B">
          <w:rPr>
            <w:noProof/>
            <w:webHidden/>
          </w:rPr>
          <w:fldChar w:fldCharType="separate"/>
        </w:r>
        <w:r w:rsidR="00B440A7">
          <w:rPr>
            <w:noProof/>
            <w:webHidden/>
          </w:rPr>
          <w:t>3</w:t>
        </w:r>
        <w:r w:rsidR="00A05A5B">
          <w:rPr>
            <w:noProof/>
            <w:webHidden/>
          </w:rPr>
          <w:fldChar w:fldCharType="end"/>
        </w:r>
      </w:hyperlink>
    </w:p>
    <w:p w14:paraId="2C5512F3" w14:textId="77777777" w:rsidR="00A05A5B" w:rsidRDefault="00E2443B">
      <w:pPr>
        <w:pStyle w:val="TOC2"/>
        <w:rPr>
          <w:rFonts w:asciiTheme="minorHAnsi" w:eastAsiaTheme="minorEastAsia" w:hAnsiTheme="minorHAnsi" w:cstheme="minorBidi"/>
          <w:noProof/>
          <w:szCs w:val="22"/>
        </w:rPr>
      </w:pPr>
      <w:hyperlink w:anchor="_Toc446343613" w:history="1">
        <w:r w:rsidR="00A05A5B" w:rsidRPr="003160B7">
          <w:rPr>
            <w:rStyle w:val="Hyperlink"/>
            <w:noProof/>
          </w:rPr>
          <w:t>Background Information</w:t>
        </w:r>
        <w:r w:rsidR="00A05A5B">
          <w:rPr>
            <w:noProof/>
            <w:webHidden/>
          </w:rPr>
          <w:tab/>
        </w:r>
        <w:r w:rsidR="00A05A5B">
          <w:rPr>
            <w:noProof/>
            <w:webHidden/>
          </w:rPr>
          <w:fldChar w:fldCharType="begin"/>
        </w:r>
        <w:r w:rsidR="00A05A5B">
          <w:rPr>
            <w:noProof/>
            <w:webHidden/>
          </w:rPr>
          <w:instrText xml:space="preserve"> PAGEREF _Toc446343613 \h </w:instrText>
        </w:r>
        <w:r w:rsidR="00A05A5B">
          <w:rPr>
            <w:noProof/>
            <w:webHidden/>
          </w:rPr>
        </w:r>
        <w:r w:rsidR="00A05A5B">
          <w:rPr>
            <w:noProof/>
            <w:webHidden/>
          </w:rPr>
          <w:fldChar w:fldCharType="separate"/>
        </w:r>
        <w:r w:rsidR="00B440A7">
          <w:rPr>
            <w:noProof/>
            <w:webHidden/>
          </w:rPr>
          <w:t>3</w:t>
        </w:r>
        <w:r w:rsidR="00A05A5B">
          <w:rPr>
            <w:noProof/>
            <w:webHidden/>
          </w:rPr>
          <w:fldChar w:fldCharType="end"/>
        </w:r>
      </w:hyperlink>
    </w:p>
    <w:p w14:paraId="56C4CA5E" w14:textId="77777777" w:rsidR="00A05A5B" w:rsidRDefault="00E2443B">
      <w:pPr>
        <w:pStyle w:val="TOC2"/>
        <w:rPr>
          <w:rFonts w:asciiTheme="minorHAnsi" w:eastAsiaTheme="minorEastAsia" w:hAnsiTheme="minorHAnsi" w:cstheme="minorBidi"/>
          <w:noProof/>
          <w:szCs w:val="22"/>
        </w:rPr>
      </w:pPr>
      <w:hyperlink w:anchor="_Toc446343614" w:history="1">
        <w:r w:rsidR="00A05A5B" w:rsidRPr="003160B7">
          <w:rPr>
            <w:rStyle w:val="Hyperlink"/>
            <w:noProof/>
          </w:rPr>
          <w:t>Method</w:t>
        </w:r>
        <w:r w:rsidR="00A05A5B">
          <w:rPr>
            <w:noProof/>
            <w:webHidden/>
          </w:rPr>
          <w:tab/>
        </w:r>
        <w:r w:rsidR="00A05A5B">
          <w:rPr>
            <w:noProof/>
            <w:webHidden/>
          </w:rPr>
          <w:fldChar w:fldCharType="begin"/>
        </w:r>
        <w:r w:rsidR="00A05A5B">
          <w:rPr>
            <w:noProof/>
            <w:webHidden/>
          </w:rPr>
          <w:instrText xml:space="preserve"> PAGEREF _Toc446343614 \h </w:instrText>
        </w:r>
        <w:r w:rsidR="00A05A5B">
          <w:rPr>
            <w:noProof/>
            <w:webHidden/>
          </w:rPr>
        </w:r>
        <w:r w:rsidR="00A05A5B">
          <w:rPr>
            <w:noProof/>
            <w:webHidden/>
          </w:rPr>
          <w:fldChar w:fldCharType="separate"/>
        </w:r>
        <w:r w:rsidR="00B440A7">
          <w:rPr>
            <w:noProof/>
            <w:webHidden/>
          </w:rPr>
          <w:t>4</w:t>
        </w:r>
        <w:r w:rsidR="00A05A5B">
          <w:rPr>
            <w:noProof/>
            <w:webHidden/>
          </w:rPr>
          <w:fldChar w:fldCharType="end"/>
        </w:r>
      </w:hyperlink>
    </w:p>
    <w:p w14:paraId="56946D09" w14:textId="77777777" w:rsidR="00A05A5B" w:rsidRDefault="00E2443B">
      <w:pPr>
        <w:pStyle w:val="TOC2"/>
        <w:rPr>
          <w:rFonts w:asciiTheme="minorHAnsi" w:eastAsiaTheme="minorEastAsia" w:hAnsiTheme="minorHAnsi" w:cstheme="minorBidi"/>
          <w:noProof/>
          <w:szCs w:val="22"/>
        </w:rPr>
      </w:pPr>
      <w:hyperlink w:anchor="_Toc446343615" w:history="1">
        <w:r w:rsidR="00A05A5B" w:rsidRPr="003160B7">
          <w:rPr>
            <w:rStyle w:val="Hyperlink"/>
            <w:noProof/>
          </w:rPr>
          <w:t>Results</w:t>
        </w:r>
        <w:r w:rsidR="00A05A5B">
          <w:rPr>
            <w:noProof/>
            <w:webHidden/>
          </w:rPr>
          <w:tab/>
        </w:r>
        <w:r w:rsidR="00A05A5B">
          <w:rPr>
            <w:noProof/>
            <w:webHidden/>
          </w:rPr>
          <w:fldChar w:fldCharType="begin"/>
        </w:r>
        <w:r w:rsidR="00A05A5B">
          <w:rPr>
            <w:noProof/>
            <w:webHidden/>
          </w:rPr>
          <w:instrText xml:space="preserve"> PAGEREF _Toc446343615 \h </w:instrText>
        </w:r>
        <w:r w:rsidR="00A05A5B">
          <w:rPr>
            <w:noProof/>
            <w:webHidden/>
          </w:rPr>
        </w:r>
        <w:r w:rsidR="00A05A5B">
          <w:rPr>
            <w:noProof/>
            <w:webHidden/>
          </w:rPr>
          <w:fldChar w:fldCharType="separate"/>
        </w:r>
        <w:r w:rsidR="00B440A7">
          <w:rPr>
            <w:noProof/>
            <w:webHidden/>
          </w:rPr>
          <w:t>5</w:t>
        </w:r>
        <w:r w:rsidR="00A05A5B">
          <w:rPr>
            <w:noProof/>
            <w:webHidden/>
          </w:rPr>
          <w:fldChar w:fldCharType="end"/>
        </w:r>
      </w:hyperlink>
    </w:p>
    <w:p w14:paraId="1727D9E6" w14:textId="77777777" w:rsidR="00A05A5B" w:rsidRDefault="00E2443B">
      <w:pPr>
        <w:pStyle w:val="TOC3"/>
        <w:rPr>
          <w:rFonts w:asciiTheme="minorHAnsi" w:eastAsiaTheme="minorEastAsia" w:hAnsiTheme="minorHAnsi" w:cstheme="minorBidi"/>
          <w:noProof/>
          <w:szCs w:val="22"/>
        </w:rPr>
      </w:pPr>
      <w:hyperlink w:anchor="_Toc446343616" w:history="1">
        <w:r w:rsidR="00A05A5B" w:rsidRPr="003160B7">
          <w:rPr>
            <w:rStyle w:val="Hyperlink"/>
            <w:noProof/>
          </w:rPr>
          <w:t>Mathematics</w:t>
        </w:r>
        <w:r w:rsidR="00A05A5B">
          <w:rPr>
            <w:noProof/>
            <w:webHidden/>
          </w:rPr>
          <w:tab/>
        </w:r>
        <w:r w:rsidR="00A05A5B">
          <w:rPr>
            <w:noProof/>
            <w:webHidden/>
          </w:rPr>
          <w:fldChar w:fldCharType="begin"/>
        </w:r>
        <w:r w:rsidR="00A05A5B">
          <w:rPr>
            <w:noProof/>
            <w:webHidden/>
          </w:rPr>
          <w:instrText xml:space="preserve"> PAGEREF _Toc446343616 \h </w:instrText>
        </w:r>
        <w:r w:rsidR="00A05A5B">
          <w:rPr>
            <w:noProof/>
            <w:webHidden/>
          </w:rPr>
        </w:r>
        <w:r w:rsidR="00A05A5B">
          <w:rPr>
            <w:noProof/>
            <w:webHidden/>
          </w:rPr>
          <w:fldChar w:fldCharType="separate"/>
        </w:r>
        <w:r w:rsidR="00B440A7">
          <w:rPr>
            <w:noProof/>
            <w:webHidden/>
          </w:rPr>
          <w:t>5</w:t>
        </w:r>
        <w:r w:rsidR="00A05A5B">
          <w:rPr>
            <w:noProof/>
            <w:webHidden/>
          </w:rPr>
          <w:fldChar w:fldCharType="end"/>
        </w:r>
      </w:hyperlink>
    </w:p>
    <w:p w14:paraId="6EDF080C" w14:textId="77777777" w:rsidR="00A05A5B" w:rsidRDefault="00E2443B">
      <w:pPr>
        <w:pStyle w:val="TOC3"/>
        <w:rPr>
          <w:rFonts w:asciiTheme="minorHAnsi" w:eastAsiaTheme="minorEastAsia" w:hAnsiTheme="minorHAnsi" w:cstheme="minorBidi"/>
          <w:noProof/>
          <w:szCs w:val="22"/>
        </w:rPr>
      </w:pPr>
      <w:hyperlink w:anchor="_Toc446343617" w:history="1">
        <w:r w:rsidR="00A05A5B" w:rsidRPr="003160B7">
          <w:rPr>
            <w:rStyle w:val="Hyperlink"/>
            <w:noProof/>
          </w:rPr>
          <w:t>Reading</w:t>
        </w:r>
        <w:r w:rsidR="00A05A5B">
          <w:rPr>
            <w:noProof/>
            <w:webHidden/>
          </w:rPr>
          <w:tab/>
        </w:r>
        <w:r w:rsidR="00A05A5B">
          <w:rPr>
            <w:noProof/>
            <w:webHidden/>
          </w:rPr>
          <w:fldChar w:fldCharType="begin"/>
        </w:r>
        <w:r w:rsidR="00A05A5B">
          <w:rPr>
            <w:noProof/>
            <w:webHidden/>
          </w:rPr>
          <w:instrText xml:space="preserve"> PAGEREF _Toc446343617 \h </w:instrText>
        </w:r>
        <w:r w:rsidR="00A05A5B">
          <w:rPr>
            <w:noProof/>
            <w:webHidden/>
          </w:rPr>
        </w:r>
        <w:r w:rsidR="00A05A5B">
          <w:rPr>
            <w:noProof/>
            <w:webHidden/>
          </w:rPr>
          <w:fldChar w:fldCharType="separate"/>
        </w:r>
        <w:r w:rsidR="00B440A7">
          <w:rPr>
            <w:noProof/>
            <w:webHidden/>
          </w:rPr>
          <w:t>7</w:t>
        </w:r>
        <w:r w:rsidR="00A05A5B">
          <w:rPr>
            <w:noProof/>
            <w:webHidden/>
          </w:rPr>
          <w:fldChar w:fldCharType="end"/>
        </w:r>
      </w:hyperlink>
    </w:p>
    <w:p w14:paraId="7D4496BD" w14:textId="77777777" w:rsidR="00A05A5B" w:rsidRDefault="00E2443B">
      <w:pPr>
        <w:pStyle w:val="TOC3"/>
        <w:rPr>
          <w:rFonts w:asciiTheme="minorHAnsi" w:eastAsiaTheme="minorEastAsia" w:hAnsiTheme="minorHAnsi" w:cstheme="minorBidi"/>
          <w:noProof/>
          <w:szCs w:val="22"/>
        </w:rPr>
      </w:pPr>
      <w:hyperlink w:anchor="_Toc446343618" w:history="1">
        <w:r w:rsidR="00A05A5B" w:rsidRPr="003160B7">
          <w:rPr>
            <w:rStyle w:val="Hyperlink"/>
            <w:noProof/>
          </w:rPr>
          <w:t>Writing</w:t>
        </w:r>
        <w:r w:rsidR="00A05A5B">
          <w:rPr>
            <w:noProof/>
            <w:webHidden/>
          </w:rPr>
          <w:tab/>
        </w:r>
        <w:r w:rsidR="00A05A5B">
          <w:rPr>
            <w:noProof/>
            <w:webHidden/>
          </w:rPr>
          <w:fldChar w:fldCharType="begin"/>
        </w:r>
        <w:r w:rsidR="00A05A5B">
          <w:rPr>
            <w:noProof/>
            <w:webHidden/>
          </w:rPr>
          <w:instrText xml:space="preserve"> PAGEREF _Toc446343618 \h </w:instrText>
        </w:r>
        <w:r w:rsidR="00A05A5B">
          <w:rPr>
            <w:noProof/>
            <w:webHidden/>
          </w:rPr>
        </w:r>
        <w:r w:rsidR="00A05A5B">
          <w:rPr>
            <w:noProof/>
            <w:webHidden/>
          </w:rPr>
          <w:fldChar w:fldCharType="separate"/>
        </w:r>
        <w:r w:rsidR="00B440A7">
          <w:rPr>
            <w:noProof/>
            <w:webHidden/>
          </w:rPr>
          <w:t>9</w:t>
        </w:r>
        <w:r w:rsidR="00A05A5B">
          <w:rPr>
            <w:noProof/>
            <w:webHidden/>
          </w:rPr>
          <w:fldChar w:fldCharType="end"/>
        </w:r>
      </w:hyperlink>
    </w:p>
    <w:p w14:paraId="4B57BD88" w14:textId="77777777" w:rsidR="00A05A5B" w:rsidRDefault="00E2443B">
      <w:pPr>
        <w:pStyle w:val="TOC2"/>
        <w:rPr>
          <w:rFonts w:asciiTheme="minorHAnsi" w:eastAsiaTheme="minorEastAsia" w:hAnsiTheme="minorHAnsi" w:cstheme="minorBidi"/>
          <w:noProof/>
          <w:szCs w:val="22"/>
        </w:rPr>
      </w:pPr>
      <w:hyperlink w:anchor="_Toc446343619" w:history="1">
        <w:r w:rsidR="00A05A5B" w:rsidRPr="003160B7">
          <w:rPr>
            <w:rStyle w:val="Hyperlink"/>
            <w:noProof/>
          </w:rPr>
          <w:t>Content Review Summary and Discussion</w:t>
        </w:r>
        <w:r w:rsidR="00A05A5B">
          <w:rPr>
            <w:noProof/>
            <w:webHidden/>
          </w:rPr>
          <w:tab/>
        </w:r>
        <w:r w:rsidR="00A05A5B">
          <w:rPr>
            <w:noProof/>
            <w:webHidden/>
          </w:rPr>
          <w:fldChar w:fldCharType="begin"/>
        </w:r>
        <w:r w:rsidR="00A05A5B">
          <w:rPr>
            <w:noProof/>
            <w:webHidden/>
          </w:rPr>
          <w:instrText xml:space="preserve"> PAGEREF _Toc446343619 \h </w:instrText>
        </w:r>
        <w:r w:rsidR="00A05A5B">
          <w:rPr>
            <w:noProof/>
            <w:webHidden/>
          </w:rPr>
        </w:r>
        <w:r w:rsidR="00A05A5B">
          <w:rPr>
            <w:noProof/>
            <w:webHidden/>
          </w:rPr>
          <w:fldChar w:fldCharType="separate"/>
        </w:r>
        <w:r w:rsidR="00B440A7">
          <w:rPr>
            <w:noProof/>
            <w:webHidden/>
          </w:rPr>
          <w:t>10</w:t>
        </w:r>
        <w:r w:rsidR="00A05A5B">
          <w:rPr>
            <w:noProof/>
            <w:webHidden/>
          </w:rPr>
          <w:fldChar w:fldCharType="end"/>
        </w:r>
      </w:hyperlink>
    </w:p>
    <w:p w14:paraId="000EE167" w14:textId="77777777" w:rsidR="00A05A5B" w:rsidRDefault="00E2443B">
      <w:pPr>
        <w:pStyle w:val="TOC1"/>
        <w:rPr>
          <w:rFonts w:asciiTheme="minorHAnsi" w:eastAsiaTheme="minorEastAsia" w:hAnsiTheme="minorHAnsi" w:cstheme="minorBidi"/>
          <w:noProof/>
          <w:szCs w:val="22"/>
        </w:rPr>
      </w:pPr>
      <w:hyperlink w:anchor="_Toc446343620" w:history="1">
        <w:r w:rsidR="00A05A5B" w:rsidRPr="003160B7">
          <w:rPr>
            <w:rStyle w:val="Hyperlink"/>
            <w:noProof/>
          </w:rPr>
          <w:t>Task 2: Replication and Estimation of Reliability and Measurement Error</w:t>
        </w:r>
        <w:r w:rsidR="00A05A5B">
          <w:rPr>
            <w:noProof/>
            <w:webHidden/>
          </w:rPr>
          <w:tab/>
        </w:r>
        <w:r w:rsidR="00A05A5B">
          <w:rPr>
            <w:noProof/>
            <w:webHidden/>
          </w:rPr>
          <w:fldChar w:fldCharType="begin"/>
        </w:r>
        <w:r w:rsidR="00A05A5B">
          <w:rPr>
            <w:noProof/>
            <w:webHidden/>
          </w:rPr>
          <w:instrText xml:space="preserve"> PAGEREF _Toc446343620 \h </w:instrText>
        </w:r>
        <w:r w:rsidR="00A05A5B">
          <w:rPr>
            <w:noProof/>
            <w:webHidden/>
          </w:rPr>
        </w:r>
        <w:r w:rsidR="00A05A5B">
          <w:rPr>
            <w:noProof/>
            <w:webHidden/>
          </w:rPr>
          <w:fldChar w:fldCharType="separate"/>
        </w:r>
        <w:r w:rsidR="00B440A7">
          <w:rPr>
            <w:noProof/>
            <w:webHidden/>
          </w:rPr>
          <w:t>10</w:t>
        </w:r>
        <w:r w:rsidR="00A05A5B">
          <w:rPr>
            <w:noProof/>
            <w:webHidden/>
          </w:rPr>
          <w:fldChar w:fldCharType="end"/>
        </w:r>
      </w:hyperlink>
    </w:p>
    <w:p w14:paraId="55E9DB79" w14:textId="77777777" w:rsidR="00A05A5B" w:rsidRDefault="00E2443B">
      <w:pPr>
        <w:pStyle w:val="TOC2"/>
        <w:rPr>
          <w:rFonts w:asciiTheme="minorHAnsi" w:eastAsiaTheme="minorEastAsia" w:hAnsiTheme="minorHAnsi" w:cstheme="minorBidi"/>
          <w:noProof/>
          <w:szCs w:val="22"/>
        </w:rPr>
      </w:pPr>
      <w:hyperlink w:anchor="_Toc446343621" w:history="1">
        <w:r w:rsidR="00A05A5B" w:rsidRPr="003160B7">
          <w:rPr>
            <w:rStyle w:val="Hyperlink"/>
            <w:noProof/>
          </w:rPr>
          <w:t>Estimation of Reliability and Measurement Error</w:t>
        </w:r>
        <w:r w:rsidR="00A05A5B">
          <w:rPr>
            <w:noProof/>
            <w:webHidden/>
          </w:rPr>
          <w:tab/>
        </w:r>
        <w:r w:rsidR="00A05A5B">
          <w:rPr>
            <w:noProof/>
            <w:webHidden/>
          </w:rPr>
          <w:fldChar w:fldCharType="begin"/>
        </w:r>
        <w:r w:rsidR="00A05A5B">
          <w:rPr>
            <w:noProof/>
            <w:webHidden/>
          </w:rPr>
          <w:instrText xml:space="preserve"> PAGEREF _Toc446343621 \h </w:instrText>
        </w:r>
        <w:r w:rsidR="00A05A5B">
          <w:rPr>
            <w:noProof/>
            <w:webHidden/>
          </w:rPr>
        </w:r>
        <w:r w:rsidR="00A05A5B">
          <w:rPr>
            <w:noProof/>
            <w:webHidden/>
          </w:rPr>
          <w:fldChar w:fldCharType="separate"/>
        </w:r>
        <w:r w:rsidR="00B440A7">
          <w:rPr>
            <w:noProof/>
            <w:webHidden/>
          </w:rPr>
          <w:t>10</w:t>
        </w:r>
        <w:r w:rsidR="00A05A5B">
          <w:rPr>
            <w:noProof/>
            <w:webHidden/>
          </w:rPr>
          <w:fldChar w:fldCharType="end"/>
        </w:r>
      </w:hyperlink>
    </w:p>
    <w:p w14:paraId="07958D80" w14:textId="77777777" w:rsidR="00A05A5B" w:rsidRDefault="00E2443B">
      <w:pPr>
        <w:pStyle w:val="TOC2"/>
        <w:rPr>
          <w:rFonts w:asciiTheme="minorHAnsi" w:eastAsiaTheme="minorEastAsia" w:hAnsiTheme="minorHAnsi" w:cstheme="minorBidi"/>
          <w:noProof/>
          <w:szCs w:val="22"/>
        </w:rPr>
      </w:pPr>
      <w:hyperlink w:anchor="_Toc446343622" w:history="1">
        <w:r w:rsidR="00A05A5B" w:rsidRPr="003160B7">
          <w:rPr>
            <w:rStyle w:val="Hyperlink"/>
            <w:noProof/>
          </w:rPr>
          <w:t>Replication of Calibration and Equating Procedures</w:t>
        </w:r>
        <w:r w:rsidR="00A05A5B">
          <w:rPr>
            <w:noProof/>
            <w:webHidden/>
          </w:rPr>
          <w:tab/>
        </w:r>
        <w:r w:rsidR="00A05A5B">
          <w:rPr>
            <w:noProof/>
            <w:webHidden/>
          </w:rPr>
          <w:fldChar w:fldCharType="begin"/>
        </w:r>
        <w:r w:rsidR="00A05A5B">
          <w:rPr>
            <w:noProof/>
            <w:webHidden/>
          </w:rPr>
          <w:instrText xml:space="preserve"> PAGEREF _Toc446343622 \h </w:instrText>
        </w:r>
        <w:r w:rsidR="00A05A5B">
          <w:rPr>
            <w:noProof/>
            <w:webHidden/>
          </w:rPr>
        </w:r>
        <w:r w:rsidR="00A05A5B">
          <w:rPr>
            <w:noProof/>
            <w:webHidden/>
          </w:rPr>
          <w:fldChar w:fldCharType="separate"/>
        </w:r>
        <w:r w:rsidR="00B440A7">
          <w:rPr>
            <w:noProof/>
            <w:webHidden/>
          </w:rPr>
          <w:t>11</w:t>
        </w:r>
        <w:r w:rsidR="00A05A5B">
          <w:rPr>
            <w:noProof/>
            <w:webHidden/>
          </w:rPr>
          <w:fldChar w:fldCharType="end"/>
        </w:r>
      </w:hyperlink>
    </w:p>
    <w:p w14:paraId="0F620EC4" w14:textId="77777777" w:rsidR="00A05A5B" w:rsidRDefault="00E2443B">
      <w:pPr>
        <w:pStyle w:val="TOC1"/>
        <w:rPr>
          <w:rFonts w:asciiTheme="minorHAnsi" w:eastAsiaTheme="minorEastAsia" w:hAnsiTheme="minorHAnsi" w:cstheme="minorBidi"/>
          <w:noProof/>
          <w:szCs w:val="22"/>
        </w:rPr>
      </w:pPr>
      <w:hyperlink w:anchor="_Toc446343623" w:history="1">
        <w:r w:rsidR="00A05A5B" w:rsidRPr="003160B7">
          <w:rPr>
            <w:rStyle w:val="Hyperlink"/>
            <w:noProof/>
          </w:rPr>
          <w:t>Task 3: Judgments about Validity and Reliability based on Review of STAAR Documentation</w:t>
        </w:r>
        <w:r w:rsidR="00A05A5B">
          <w:rPr>
            <w:noProof/>
            <w:webHidden/>
          </w:rPr>
          <w:tab/>
        </w:r>
        <w:r w:rsidR="00A05A5B">
          <w:rPr>
            <w:noProof/>
            <w:webHidden/>
          </w:rPr>
          <w:fldChar w:fldCharType="begin"/>
        </w:r>
        <w:r w:rsidR="00A05A5B">
          <w:rPr>
            <w:noProof/>
            <w:webHidden/>
          </w:rPr>
          <w:instrText xml:space="preserve"> PAGEREF _Toc446343623 \h </w:instrText>
        </w:r>
        <w:r w:rsidR="00A05A5B">
          <w:rPr>
            <w:noProof/>
            <w:webHidden/>
          </w:rPr>
        </w:r>
        <w:r w:rsidR="00A05A5B">
          <w:rPr>
            <w:noProof/>
            <w:webHidden/>
          </w:rPr>
          <w:fldChar w:fldCharType="separate"/>
        </w:r>
        <w:r w:rsidR="00B440A7">
          <w:rPr>
            <w:noProof/>
            <w:webHidden/>
          </w:rPr>
          <w:t>12</w:t>
        </w:r>
        <w:r w:rsidR="00A05A5B">
          <w:rPr>
            <w:noProof/>
            <w:webHidden/>
          </w:rPr>
          <w:fldChar w:fldCharType="end"/>
        </w:r>
      </w:hyperlink>
    </w:p>
    <w:p w14:paraId="3FDD2F93" w14:textId="77777777" w:rsidR="00A05A5B" w:rsidRDefault="00E2443B">
      <w:pPr>
        <w:pStyle w:val="TOC2"/>
        <w:rPr>
          <w:rFonts w:asciiTheme="minorHAnsi" w:eastAsiaTheme="minorEastAsia" w:hAnsiTheme="minorHAnsi" w:cstheme="minorBidi"/>
          <w:noProof/>
          <w:szCs w:val="22"/>
        </w:rPr>
      </w:pPr>
      <w:hyperlink w:anchor="_Toc446343624" w:history="1">
        <w:r w:rsidR="00A05A5B" w:rsidRPr="003160B7">
          <w:rPr>
            <w:rStyle w:val="Hyperlink"/>
            <w:noProof/>
          </w:rPr>
          <w:t>Background</w:t>
        </w:r>
        <w:r w:rsidR="00A05A5B">
          <w:rPr>
            <w:noProof/>
            <w:webHidden/>
          </w:rPr>
          <w:tab/>
        </w:r>
        <w:r w:rsidR="00A05A5B">
          <w:rPr>
            <w:noProof/>
            <w:webHidden/>
          </w:rPr>
          <w:fldChar w:fldCharType="begin"/>
        </w:r>
        <w:r w:rsidR="00A05A5B">
          <w:rPr>
            <w:noProof/>
            <w:webHidden/>
          </w:rPr>
          <w:instrText xml:space="preserve"> PAGEREF _Toc446343624 \h </w:instrText>
        </w:r>
        <w:r w:rsidR="00A05A5B">
          <w:rPr>
            <w:noProof/>
            <w:webHidden/>
          </w:rPr>
        </w:r>
        <w:r w:rsidR="00A05A5B">
          <w:rPr>
            <w:noProof/>
            <w:webHidden/>
          </w:rPr>
          <w:fldChar w:fldCharType="separate"/>
        </w:r>
        <w:r w:rsidR="00B440A7">
          <w:rPr>
            <w:noProof/>
            <w:webHidden/>
          </w:rPr>
          <w:t>12</w:t>
        </w:r>
        <w:r w:rsidR="00A05A5B">
          <w:rPr>
            <w:noProof/>
            <w:webHidden/>
          </w:rPr>
          <w:fldChar w:fldCharType="end"/>
        </w:r>
      </w:hyperlink>
    </w:p>
    <w:p w14:paraId="2376E0FD" w14:textId="77777777" w:rsidR="00A05A5B" w:rsidRDefault="00E2443B">
      <w:pPr>
        <w:pStyle w:val="TOC2"/>
        <w:rPr>
          <w:rFonts w:asciiTheme="minorHAnsi" w:eastAsiaTheme="minorEastAsia" w:hAnsiTheme="minorHAnsi" w:cstheme="minorBidi"/>
          <w:noProof/>
          <w:szCs w:val="22"/>
        </w:rPr>
      </w:pPr>
      <w:hyperlink w:anchor="_Toc446343625" w:history="1">
        <w:r w:rsidR="00A05A5B" w:rsidRPr="003160B7">
          <w:rPr>
            <w:rStyle w:val="Hyperlink"/>
            <w:noProof/>
          </w:rPr>
          <w:t>Basic Score Building Processes</w:t>
        </w:r>
        <w:r w:rsidR="00A05A5B">
          <w:rPr>
            <w:noProof/>
            <w:webHidden/>
          </w:rPr>
          <w:tab/>
        </w:r>
        <w:r w:rsidR="00A05A5B">
          <w:rPr>
            <w:noProof/>
            <w:webHidden/>
          </w:rPr>
          <w:fldChar w:fldCharType="begin"/>
        </w:r>
        <w:r w:rsidR="00A05A5B">
          <w:rPr>
            <w:noProof/>
            <w:webHidden/>
          </w:rPr>
          <w:instrText xml:space="preserve"> PAGEREF _Toc446343625 \h </w:instrText>
        </w:r>
        <w:r w:rsidR="00A05A5B">
          <w:rPr>
            <w:noProof/>
            <w:webHidden/>
          </w:rPr>
        </w:r>
        <w:r w:rsidR="00A05A5B">
          <w:rPr>
            <w:noProof/>
            <w:webHidden/>
          </w:rPr>
          <w:fldChar w:fldCharType="separate"/>
        </w:r>
        <w:r w:rsidR="00B440A7">
          <w:rPr>
            <w:noProof/>
            <w:webHidden/>
          </w:rPr>
          <w:t>13</w:t>
        </w:r>
        <w:r w:rsidR="00A05A5B">
          <w:rPr>
            <w:noProof/>
            <w:webHidden/>
          </w:rPr>
          <w:fldChar w:fldCharType="end"/>
        </w:r>
      </w:hyperlink>
    </w:p>
    <w:p w14:paraId="22A2016F" w14:textId="77777777" w:rsidR="00A05A5B" w:rsidRDefault="00E2443B">
      <w:pPr>
        <w:pStyle w:val="TOC3"/>
        <w:rPr>
          <w:rFonts w:asciiTheme="minorHAnsi" w:eastAsiaTheme="minorEastAsia" w:hAnsiTheme="minorHAnsi" w:cstheme="minorBidi"/>
          <w:noProof/>
          <w:szCs w:val="22"/>
        </w:rPr>
      </w:pPr>
      <w:hyperlink w:anchor="_Toc446343626" w:history="1">
        <w:r w:rsidR="00A05A5B" w:rsidRPr="003160B7">
          <w:rPr>
            <w:rStyle w:val="Hyperlink"/>
            <w:noProof/>
          </w:rPr>
          <w:t>1. Identify Test Content</w:t>
        </w:r>
        <w:r w:rsidR="00A05A5B">
          <w:rPr>
            <w:noProof/>
            <w:webHidden/>
          </w:rPr>
          <w:tab/>
        </w:r>
        <w:r w:rsidR="00A05A5B">
          <w:rPr>
            <w:noProof/>
            <w:webHidden/>
          </w:rPr>
          <w:fldChar w:fldCharType="begin"/>
        </w:r>
        <w:r w:rsidR="00A05A5B">
          <w:rPr>
            <w:noProof/>
            <w:webHidden/>
          </w:rPr>
          <w:instrText xml:space="preserve"> PAGEREF _Toc446343626 \h </w:instrText>
        </w:r>
        <w:r w:rsidR="00A05A5B">
          <w:rPr>
            <w:noProof/>
            <w:webHidden/>
          </w:rPr>
        </w:r>
        <w:r w:rsidR="00A05A5B">
          <w:rPr>
            <w:noProof/>
            <w:webHidden/>
          </w:rPr>
          <w:fldChar w:fldCharType="separate"/>
        </w:r>
        <w:r w:rsidR="00B440A7">
          <w:rPr>
            <w:noProof/>
            <w:webHidden/>
          </w:rPr>
          <w:t>14</w:t>
        </w:r>
        <w:r w:rsidR="00A05A5B">
          <w:rPr>
            <w:noProof/>
            <w:webHidden/>
          </w:rPr>
          <w:fldChar w:fldCharType="end"/>
        </w:r>
      </w:hyperlink>
    </w:p>
    <w:p w14:paraId="3C1DC9A7" w14:textId="77777777" w:rsidR="00A05A5B" w:rsidRDefault="00E2443B">
      <w:pPr>
        <w:pStyle w:val="TOC3"/>
        <w:rPr>
          <w:rFonts w:asciiTheme="minorHAnsi" w:eastAsiaTheme="minorEastAsia" w:hAnsiTheme="minorHAnsi" w:cstheme="minorBidi"/>
          <w:noProof/>
          <w:szCs w:val="22"/>
        </w:rPr>
      </w:pPr>
      <w:hyperlink w:anchor="_Toc446343627" w:history="1">
        <w:r w:rsidR="00A05A5B" w:rsidRPr="003160B7">
          <w:rPr>
            <w:rStyle w:val="Hyperlink"/>
            <w:noProof/>
          </w:rPr>
          <w:t>2. Prepare Test Items</w:t>
        </w:r>
        <w:r w:rsidR="00A05A5B">
          <w:rPr>
            <w:noProof/>
            <w:webHidden/>
          </w:rPr>
          <w:tab/>
        </w:r>
        <w:r w:rsidR="00A05A5B">
          <w:rPr>
            <w:noProof/>
            <w:webHidden/>
          </w:rPr>
          <w:fldChar w:fldCharType="begin"/>
        </w:r>
        <w:r w:rsidR="00A05A5B">
          <w:rPr>
            <w:noProof/>
            <w:webHidden/>
          </w:rPr>
          <w:instrText xml:space="preserve"> PAGEREF _Toc446343627 \h </w:instrText>
        </w:r>
        <w:r w:rsidR="00A05A5B">
          <w:rPr>
            <w:noProof/>
            <w:webHidden/>
          </w:rPr>
        </w:r>
        <w:r w:rsidR="00A05A5B">
          <w:rPr>
            <w:noProof/>
            <w:webHidden/>
          </w:rPr>
          <w:fldChar w:fldCharType="separate"/>
        </w:r>
        <w:r w:rsidR="00B440A7">
          <w:rPr>
            <w:noProof/>
            <w:webHidden/>
          </w:rPr>
          <w:t>15</w:t>
        </w:r>
        <w:r w:rsidR="00A05A5B">
          <w:rPr>
            <w:noProof/>
            <w:webHidden/>
          </w:rPr>
          <w:fldChar w:fldCharType="end"/>
        </w:r>
      </w:hyperlink>
    </w:p>
    <w:p w14:paraId="5DCDECB3" w14:textId="77777777" w:rsidR="00A05A5B" w:rsidRDefault="00E2443B">
      <w:pPr>
        <w:pStyle w:val="TOC3"/>
        <w:rPr>
          <w:rFonts w:asciiTheme="minorHAnsi" w:eastAsiaTheme="minorEastAsia" w:hAnsiTheme="minorHAnsi" w:cstheme="minorBidi"/>
          <w:noProof/>
          <w:szCs w:val="22"/>
        </w:rPr>
      </w:pPr>
      <w:hyperlink w:anchor="_Toc446343628" w:history="1">
        <w:r w:rsidR="00A05A5B" w:rsidRPr="003160B7">
          <w:rPr>
            <w:rStyle w:val="Hyperlink"/>
            <w:noProof/>
          </w:rPr>
          <w:t>3. Construct Test Forms</w:t>
        </w:r>
        <w:r w:rsidR="00A05A5B">
          <w:rPr>
            <w:noProof/>
            <w:webHidden/>
          </w:rPr>
          <w:tab/>
        </w:r>
        <w:r w:rsidR="00A05A5B">
          <w:rPr>
            <w:noProof/>
            <w:webHidden/>
          </w:rPr>
          <w:fldChar w:fldCharType="begin"/>
        </w:r>
        <w:r w:rsidR="00A05A5B">
          <w:rPr>
            <w:noProof/>
            <w:webHidden/>
          </w:rPr>
          <w:instrText xml:space="preserve"> PAGEREF _Toc446343628 \h </w:instrText>
        </w:r>
        <w:r w:rsidR="00A05A5B">
          <w:rPr>
            <w:noProof/>
            <w:webHidden/>
          </w:rPr>
        </w:r>
        <w:r w:rsidR="00A05A5B">
          <w:rPr>
            <w:noProof/>
            <w:webHidden/>
          </w:rPr>
          <w:fldChar w:fldCharType="separate"/>
        </w:r>
        <w:r w:rsidR="00B440A7">
          <w:rPr>
            <w:noProof/>
            <w:webHidden/>
          </w:rPr>
          <w:t>16</w:t>
        </w:r>
        <w:r w:rsidR="00A05A5B">
          <w:rPr>
            <w:noProof/>
            <w:webHidden/>
          </w:rPr>
          <w:fldChar w:fldCharType="end"/>
        </w:r>
      </w:hyperlink>
    </w:p>
    <w:p w14:paraId="3FFE717C" w14:textId="77777777" w:rsidR="00A05A5B" w:rsidRDefault="00E2443B">
      <w:pPr>
        <w:pStyle w:val="TOC3"/>
        <w:rPr>
          <w:rFonts w:asciiTheme="minorHAnsi" w:eastAsiaTheme="minorEastAsia" w:hAnsiTheme="minorHAnsi" w:cstheme="minorBidi"/>
          <w:noProof/>
          <w:szCs w:val="22"/>
        </w:rPr>
      </w:pPr>
      <w:hyperlink w:anchor="_Toc446343629" w:history="1">
        <w:r w:rsidR="00A05A5B" w:rsidRPr="003160B7">
          <w:rPr>
            <w:rStyle w:val="Hyperlink"/>
            <w:noProof/>
          </w:rPr>
          <w:t>4. Administer Tests</w:t>
        </w:r>
        <w:r w:rsidR="00A05A5B">
          <w:rPr>
            <w:noProof/>
            <w:webHidden/>
          </w:rPr>
          <w:tab/>
        </w:r>
        <w:r w:rsidR="00A05A5B">
          <w:rPr>
            <w:noProof/>
            <w:webHidden/>
          </w:rPr>
          <w:fldChar w:fldCharType="begin"/>
        </w:r>
        <w:r w:rsidR="00A05A5B">
          <w:rPr>
            <w:noProof/>
            <w:webHidden/>
          </w:rPr>
          <w:instrText xml:space="preserve"> PAGEREF _Toc446343629 \h </w:instrText>
        </w:r>
        <w:r w:rsidR="00A05A5B">
          <w:rPr>
            <w:noProof/>
            <w:webHidden/>
          </w:rPr>
        </w:r>
        <w:r w:rsidR="00A05A5B">
          <w:rPr>
            <w:noProof/>
            <w:webHidden/>
          </w:rPr>
          <w:fldChar w:fldCharType="separate"/>
        </w:r>
        <w:r w:rsidR="00B440A7">
          <w:rPr>
            <w:noProof/>
            <w:webHidden/>
          </w:rPr>
          <w:t>17</w:t>
        </w:r>
        <w:r w:rsidR="00A05A5B">
          <w:rPr>
            <w:noProof/>
            <w:webHidden/>
          </w:rPr>
          <w:fldChar w:fldCharType="end"/>
        </w:r>
      </w:hyperlink>
    </w:p>
    <w:p w14:paraId="1F546F73" w14:textId="77777777" w:rsidR="00A05A5B" w:rsidRDefault="00E2443B">
      <w:pPr>
        <w:pStyle w:val="TOC3"/>
        <w:rPr>
          <w:rFonts w:asciiTheme="minorHAnsi" w:eastAsiaTheme="minorEastAsia" w:hAnsiTheme="minorHAnsi" w:cstheme="minorBidi"/>
          <w:noProof/>
          <w:szCs w:val="22"/>
        </w:rPr>
      </w:pPr>
      <w:hyperlink w:anchor="_Toc446343630" w:history="1">
        <w:r w:rsidR="00A05A5B" w:rsidRPr="003160B7">
          <w:rPr>
            <w:rStyle w:val="Hyperlink"/>
            <w:noProof/>
          </w:rPr>
          <w:t>5. Create Test Scores</w:t>
        </w:r>
        <w:r w:rsidR="00A05A5B">
          <w:rPr>
            <w:noProof/>
            <w:webHidden/>
          </w:rPr>
          <w:tab/>
        </w:r>
        <w:r w:rsidR="00A05A5B">
          <w:rPr>
            <w:noProof/>
            <w:webHidden/>
          </w:rPr>
          <w:fldChar w:fldCharType="begin"/>
        </w:r>
        <w:r w:rsidR="00A05A5B">
          <w:rPr>
            <w:noProof/>
            <w:webHidden/>
          </w:rPr>
          <w:instrText xml:space="preserve"> PAGEREF _Toc446343630 \h </w:instrText>
        </w:r>
        <w:r w:rsidR="00A05A5B">
          <w:rPr>
            <w:noProof/>
            <w:webHidden/>
          </w:rPr>
        </w:r>
        <w:r w:rsidR="00A05A5B">
          <w:rPr>
            <w:noProof/>
            <w:webHidden/>
          </w:rPr>
          <w:fldChar w:fldCharType="separate"/>
        </w:r>
        <w:r w:rsidR="00B440A7">
          <w:rPr>
            <w:noProof/>
            <w:webHidden/>
          </w:rPr>
          <w:t>17</w:t>
        </w:r>
        <w:r w:rsidR="00A05A5B">
          <w:rPr>
            <w:noProof/>
            <w:webHidden/>
          </w:rPr>
          <w:fldChar w:fldCharType="end"/>
        </w:r>
      </w:hyperlink>
    </w:p>
    <w:p w14:paraId="05445A9C" w14:textId="77777777" w:rsidR="00A05A5B" w:rsidRDefault="00E2443B">
      <w:pPr>
        <w:pStyle w:val="TOC2"/>
        <w:rPr>
          <w:rFonts w:asciiTheme="minorHAnsi" w:eastAsiaTheme="minorEastAsia" w:hAnsiTheme="minorHAnsi" w:cstheme="minorBidi"/>
          <w:noProof/>
          <w:szCs w:val="22"/>
        </w:rPr>
      </w:pPr>
      <w:hyperlink w:anchor="_Toc446343631" w:history="1">
        <w:r w:rsidR="00A05A5B" w:rsidRPr="003160B7">
          <w:rPr>
            <w:rStyle w:val="Hyperlink"/>
            <w:noProof/>
          </w:rPr>
          <w:t>Task 3 Conclusion</w:t>
        </w:r>
        <w:r w:rsidR="00A05A5B">
          <w:rPr>
            <w:noProof/>
            <w:webHidden/>
          </w:rPr>
          <w:tab/>
        </w:r>
        <w:r w:rsidR="00A05A5B">
          <w:rPr>
            <w:noProof/>
            <w:webHidden/>
          </w:rPr>
          <w:fldChar w:fldCharType="begin"/>
        </w:r>
        <w:r w:rsidR="00A05A5B">
          <w:rPr>
            <w:noProof/>
            <w:webHidden/>
          </w:rPr>
          <w:instrText xml:space="preserve"> PAGEREF _Toc446343631 \h </w:instrText>
        </w:r>
        <w:r w:rsidR="00A05A5B">
          <w:rPr>
            <w:noProof/>
            <w:webHidden/>
          </w:rPr>
        </w:r>
        <w:r w:rsidR="00A05A5B">
          <w:rPr>
            <w:noProof/>
            <w:webHidden/>
          </w:rPr>
          <w:fldChar w:fldCharType="separate"/>
        </w:r>
        <w:r w:rsidR="00B440A7">
          <w:rPr>
            <w:noProof/>
            <w:webHidden/>
          </w:rPr>
          <w:t>18</w:t>
        </w:r>
        <w:r w:rsidR="00A05A5B">
          <w:rPr>
            <w:noProof/>
            <w:webHidden/>
          </w:rPr>
          <w:fldChar w:fldCharType="end"/>
        </w:r>
      </w:hyperlink>
    </w:p>
    <w:p w14:paraId="2A54BF42" w14:textId="77777777" w:rsidR="00A05A5B" w:rsidRDefault="00E2443B">
      <w:pPr>
        <w:pStyle w:val="TOC1"/>
        <w:rPr>
          <w:rFonts w:asciiTheme="minorHAnsi" w:eastAsiaTheme="minorEastAsia" w:hAnsiTheme="minorHAnsi" w:cstheme="minorBidi"/>
          <w:noProof/>
          <w:szCs w:val="22"/>
        </w:rPr>
      </w:pPr>
      <w:hyperlink w:anchor="_Toc446343632" w:history="1">
        <w:r w:rsidR="00A05A5B" w:rsidRPr="003160B7">
          <w:rPr>
            <w:rStyle w:val="Hyperlink"/>
            <w:noProof/>
          </w:rPr>
          <w:t>Overall Conclusion</w:t>
        </w:r>
        <w:r w:rsidR="00A05A5B">
          <w:rPr>
            <w:noProof/>
            <w:webHidden/>
          </w:rPr>
          <w:tab/>
        </w:r>
        <w:r w:rsidR="00A05A5B">
          <w:rPr>
            <w:noProof/>
            <w:webHidden/>
          </w:rPr>
          <w:fldChar w:fldCharType="begin"/>
        </w:r>
        <w:r w:rsidR="00A05A5B">
          <w:rPr>
            <w:noProof/>
            <w:webHidden/>
          </w:rPr>
          <w:instrText xml:space="preserve"> PAGEREF _Toc446343632 \h </w:instrText>
        </w:r>
        <w:r w:rsidR="00A05A5B">
          <w:rPr>
            <w:noProof/>
            <w:webHidden/>
          </w:rPr>
        </w:r>
        <w:r w:rsidR="00A05A5B">
          <w:rPr>
            <w:noProof/>
            <w:webHidden/>
          </w:rPr>
          <w:fldChar w:fldCharType="separate"/>
        </w:r>
        <w:r w:rsidR="00B440A7">
          <w:rPr>
            <w:noProof/>
            <w:webHidden/>
          </w:rPr>
          <w:t>19</w:t>
        </w:r>
        <w:r w:rsidR="00A05A5B">
          <w:rPr>
            <w:noProof/>
            <w:webHidden/>
          </w:rPr>
          <w:fldChar w:fldCharType="end"/>
        </w:r>
      </w:hyperlink>
    </w:p>
    <w:p w14:paraId="1039FD61" w14:textId="77777777" w:rsidR="00A05A5B" w:rsidRDefault="00E2443B">
      <w:pPr>
        <w:pStyle w:val="TOC1"/>
        <w:rPr>
          <w:rFonts w:asciiTheme="minorHAnsi" w:eastAsiaTheme="minorEastAsia" w:hAnsiTheme="minorHAnsi" w:cstheme="minorBidi"/>
          <w:noProof/>
          <w:szCs w:val="22"/>
        </w:rPr>
      </w:pPr>
      <w:hyperlink w:anchor="_Toc446343633" w:history="1">
        <w:r w:rsidR="00A05A5B" w:rsidRPr="003160B7">
          <w:rPr>
            <w:rStyle w:val="Hyperlink"/>
            <w:noProof/>
          </w:rPr>
          <w:t>References</w:t>
        </w:r>
        <w:r w:rsidR="00A05A5B">
          <w:rPr>
            <w:noProof/>
            <w:webHidden/>
          </w:rPr>
          <w:tab/>
        </w:r>
        <w:r w:rsidR="00A05A5B">
          <w:rPr>
            <w:noProof/>
            <w:webHidden/>
          </w:rPr>
          <w:fldChar w:fldCharType="begin"/>
        </w:r>
        <w:r w:rsidR="00A05A5B">
          <w:rPr>
            <w:noProof/>
            <w:webHidden/>
          </w:rPr>
          <w:instrText xml:space="preserve"> PAGEREF _Toc446343633 \h </w:instrText>
        </w:r>
        <w:r w:rsidR="00A05A5B">
          <w:rPr>
            <w:noProof/>
            <w:webHidden/>
          </w:rPr>
        </w:r>
        <w:r w:rsidR="00A05A5B">
          <w:rPr>
            <w:noProof/>
            <w:webHidden/>
          </w:rPr>
          <w:fldChar w:fldCharType="separate"/>
        </w:r>
        <w:r w:rsidR="00B440A7">
          <w:rPr>
            <w:noProof/>
            <w:webHidden/>
          </w:rPr>
          <w:t>20</w:t>
        </w:r>
        <w:r w:rsidR="00A05A5B">
          <w:rPr>
            <w:noProof/>
            <w:webHidden/>
          </w:rPr>
          <w:fldChar w:fldCharType="end"/>
        </w:r>
      </w:hyperlink>
    </w:p>
    <w:p w14:paraId="1BBA20C5" w14:textId="4E87F7B0" w:rsidR="00A05A5B" w:rsidRDefault="00E2443B">
      <w:pPr>
        <w:pStyle w:val="TOC1"/>
        <w:rPr>
          <w:rFonts w:asciiTheme="minorHAnsi" w:eastAsiaTheme="minorEastAsia" w:hAnsiTheme="minorHAnsi" w:cstheme="minorBidi"/>
          <w:noProof/>
          <w:szCs w:val="22"/>
        </w:rPr>
      </w:pPr>
      <w:hyperlink w:anchor="_Toc446343634" w:history="1">
        <w:r w:rsidR="00A05A5B" w:rsidRPr="003160B7">
          <w:rPr>
            <w:rStyle w:val="Hyperlink"/>
            <w:noProof/>
          </w:rPr>
          <w:t>Appendix A: Conditional Standard Error of Measurement Plots</w:t>
        </w:r>
        <w:r w:rsidR="00A05A5B">
          <w:rPr>
            <w:noProof/>
            <w:webHidden/>
          </w:rPr>
          <w:tab/>
          <w:t>A-</w:t>
        </w:r>
        <w:r w:rsidR="00A05A5B">
          <w:rPr>
            <w:noProof/>
            <w:webHidden/>
          </w:rPr>
          <w:fldChar w:fldCharType="begin"/>
        </w:r>
        <w:r w:rsidR="00A05A5B">
          <w:rPr>
            <w:noProof/>
            <w:webHidden/>
          </w:rPr>
          <w:instrText xml:space="preserve"> PAGEREF _Toc446343634 \h </w:instrText>
        </w:r>
        <w:r w:rsidR="00A05A5B">
          <w:rPr>
            <w:noProof/>
            <w:webHidden/>
          </w:rPr>
        </w:r>
        <w:r w:rsidR="00A05A5B">
          <w:rPr>
            <w:noProof/>
            <w:webHidden/>
          </w:rPr>
          <w:fldChar w:fldCharType="separate"/>
        </w:r>
        <w:r w:rsidR="00B440A7">
          <w:rPr>
            <w:noProof/>
            <w:webHidden/>
          </w:rPr>
          <w:t>1</w:t>
        </w:r>
        <w:r w:rsidR="00A05A5B">
          <w:rPr>
            <w:noProof/>
            <w:webHidden/>
          </w:rPr>
          <w:fldChar w:fldCharType="end"/>
        </w:r>
      </w:hyperlink>
    </w:p>
    <w:p w14:paraId="60091F98" w14:textId="77777777" w:rsidR="000629E5" w:rsidRPr="003B2AB8" w:rsidRDefault="003F2942">
      <w:pPr>
        <w:rPr>
          <w:sz w:val="20"/>
          <w:szCs w:val="20"/>
        </w:rPr>
      </w:pPr>
      <w:r w:rsidRPr="003B2AB8">
        <w:rPr>
          <w:sz w:val="20"/>
          <w:szCs w:val="20"/>
        </w:rPr>
        <w:fldChar w:fldCharType="end"/>
      </w:r>
    </w:p>
    <w:p w14:paraId="590DE9FA" w14:textId="77777777" w:rsidR="00695F3C" w:rsidRPr="003B2AB8" w:rsidRDefault="00695F3C">
      <w:pPr>
        <w:rPr>
          <w:sz w:val="20"/>
          <w:szCs w:val="20"/>
        </w:rPr>
      </w:pPr>
      <w:r w:rsidRPr="003B2AB8">
        <w:rPr>
          <w:b/>
          <w:sz w:val="20"/>
          <w:szCs w:val="20"/>
        </w:rPr>
        <w:br w:type="page"/>
      </w:r>
    </w:p>
    <w:p w14:paraId="05D611E9" w14:textId="77777777" w:rsidR="00695F3C" w:rsidRPr="003B2AB8" w:rsidRDefault="00695F3C" w:rsidP="00695F3C">
      <w:pPr>
        <w:jc w:val="center"/>
        <w:rPr>
          <w:b/>
          <w:color w:val="669933"/>
          <w:kern w:val="20"/>
        </w:rPr>
      </w:pPr>
      <w:r w:rsidRPr="003B2AB8">
        <w:rPr>
          <w:b/>
          <w:color w:val="669933"/>
          <w:kern w:val="20"/>
        </w:rPr>
        <w:lastRenderedPageBreak/>
        <w:t>List of Tables</w:t>
      </w:r>
    </w:p>
    <w:p w14:paraId="0079D551" w14:textId="77777777" w:rsidR="00695F3C" w:rsidRPr="003B2AB8" w:rsidRDefault="00695F3C" w:rsidP="00695F3C">
      <w:pPr>
        <w:jc w:val="center"/>
        <w:rPr>
          <w:b/>
          <w:color w:val="669933"/>
          <w:kern w:val="20"/>
        </w:rPr>
      </w:pPr>
    </w:p>
    <w:p w14:paraId="30CAA16D" w14:textId="77777777" w:rsidR="00FC6B6D" w:rsidRDefault="00695F3C">
      <w:pPr>
        <w:pStyle w:val="TableofFigures"/>
        <w:rPr>
          <w:rFonts w:asciiTheme="minorHAnsi" w:eastAsiaTheme="minorEastAsia" w:hAnsiTheme="minorHAnsi" w:cstheme="minorBidi"/>
          <w:noProof/>
          <w:szCs w:val="22"/>
        </w:rPr>
      </w:pPr>
      <w:r w:rsidRPr="003B2AB8">
        <w:rPr>
          <w:b/>
          <w:sz w:val="20"/>
          <w:szCs w:val="20"/>
        </w:rPr>
        <w:fldChar w:fldCharType="begin"/>
      </w:r>
      <w:r w:rsidRPr="003B2AB8">
        <w:rPr>
          <w:b/>
          <w:sz w:val="20"/>
          <w:szCs w:val="20"/>
        </w:rPr>
        <w:instrText xml:space="preserve"> TOC \h \z \t "H_Table" \c </w:instrText>
      </w:r>
      <w:r w:rsidRPr="003B2AB8">
        <w:rPr>
          <w:b/>
          <w:sz w:val="20"/>
          <w:szCs w:val="20"/>
        </w:rPr>
        <w:fldChar w:fldCharType="separate"/>
      </w:r>
      <w:hyperlink w:anchor="_Toc446071676" w:history="1">
        <w:r w:rsidR="00FC6B6D" w:rsidRPr="00973B93">
          <w:rPr>
            <w:rStyle w:val="Hyperlink"/>
            <w:noProof/>
          </w:rPr>
          <w:t>Table 1. Grade 5 Mathematics Content Alignment and Blueprint Consistency Results</w:t>
        </w:r>
        <w:r w:rsidR="00FC6B6D">
          <w:rPr>
            <w:noProof/>
            <w:webHidden/>
          </w:rPr>
          <w:tab/>
        </w:r>
        <w:r w:rsidR="00FC6B6D">
          <w:rPr>
            <w:noProof/>
            <w:webHidden/>
          </w:rPr>
          <w:fldChar w:fldCharType="begin"/>
        </w:r>
        <w:r w:rsidR="00FC6B6D">
          <w:rPr>
            <w:noProof/>
            <w:webHidden/>
          </w:rPr>
          <w:instrText xml:space="preserve"> PAGEREF _Toc446071676 \h </w:instrText>
        </w:r>
        <w:r w:rsidR="00FC6B6D">
          <w:rPr>
            <w:noProof/>
            <w:webHidden/>
          </w:rPr>
        </w:r>
        <w:r w:rsidR="00FC6B6D">
          <w:rPr>
            <w:noProof/>
            <w:webHidden/>
          </w:rPr>
          <w:fldChar w:fldCharType="separate"/>
        </w:r>
        <w:r w:rsidR="00A05A5B">
          <w:rPr>
            <w:noProof/>
            <w:webHidden/>
          </w:rPr>
          <w:t>6</w:t>
        </w:r>
        <w:r w:rsidR="00FC6B6D">
          <w:rPr>
            <w:noProof/>
            <w:webHidden/>
          </w:rPr>
          <w:fldChar w:fldCharType="end"/>
        </w:r>
      </w:hyperlink>
    </w:p>
    <w:p w14:paraId="689FA47E" w14:textId="77777777" w:rsidR="00FC6B6D" w:rsidRDefault="00E2443B">
      <w:pPr>
        <w:pStyle w:val="TableofFigures"/>
        <w:rPr>
          <w:rFonts w:asciiTheme="minorHAnsi" w:eastAsiaTheme="minorEastAsia" w:hAnsiTheme="minorHAnsi" w:cstheme="minorBidi"/>
          <w:noProof/>
          <w:szCs w:val="22"/>
        </w:rPr>
      </w:pPr>
      <w:hyperlink w:anchor="_Toc446071677" w:history="1">
        <w:r w:rsidR="00FC6B6D" w:rsidRPr="00973B93">
          <w:rPr>
            <w:rStyle w:val="Hyperlink"/>
            <w:noProof/>
          </w:rPr>
          <w:t>Table 2. Grade 8 Mathematics Content Alignment and Blueprint Consistency Results</w:t>
        </w:r>
        <w:r w:rsidR="00FC6B6D">
          <w:rPr>
            <w:noProof/>
            <w:webHidden/>
          </w:rPr>
          <w:tab/>
        </w:r>
        <w:r w:rsidR="00FC6B6D">
          <w:rPr>
            <w:noProof/>
            <w:webHidden/>
          </w:rPr>
          <w:fldChar w:fldCharType="begin"/>
        </w:r>
        <w:r w:rsidR="00FC6B6D">
          <w:rPr>
            <w:noProof/>
            <w:webHidden/>
          </w:rPr>
          <w:instrText xml:space="preserve"> PAGEREF _Toc446071677 \h </w:instrText>
        </w:r>
        <w:r w:rsidR="00FC6B6D">
          <w:rPr>
            <w:noProof/>
            <w:webHidden/>
          </w:rPr>
        </w:r>
        <w:r w:rsidR="00FC6B6D">
          <w:rPr>
            <w:noProof/>
            <w:webHidden/>
          </w:rPr>
          <w:fldChar w:fldCharType="separate"/>
        </w:r>
        <w:r w:rsidR="00A05A5B">
          <w:rPr>
            <w:noProof/>
            <w:webHidden/>
          </w:rPr>
          <w:t>7</w:t>
        </w:r>
        <w:r w:rsidR="00FC6B6D">
          <w:rPr>
            <w:noProof/>
            <w:webHidden/>
          </w:rPr>
          <w:fldChar w:fldCharType="end"/>
        </w:r>
      </w:hyperlink>
    </w:p>
    <w:p w14:paraId="4F766411" w14:textId="77777777" w:rsidR="00FC6B6D" w:rsidRDefault="00E2443B">
      <w:pPr>
        <w:pStyle w:val="TableofFigures"/>
        <w:rPr>
          <w:rFonts w:asciiTheme="minorHAnsi" w:eastAsiaTheme="minorEastAsia" w:hAnsiTheme="minorHAnsi" w:cstheme="minorBidi"/>
          <w:noProof/>
          <w:szCs w:val="22"/>
        </w:rPr>
      </w:pPr>
      <w:hyperlink w:anchor="_Toc446071678" w:history="1">
        <w:r w:rsidR="00FC6B6D" w:rsidRPr="00973B93">
          <w:rPr>
            <w:rStyle w:val="Hyperlink"/>
            <w:noProof/>
          </w:rPr>
          <w:t>Table 3. Grade 5 Reading Content Alignment and Blueprint Consistency Results</w:t>
        </w:r>
        <w:r w:rsidR="00FC6B6D">
          <w:rPr>
            <w:noProof/>
            <w:webHidden/>
          </w:rPr>
          <w:tab/>
        </w:r>
        <w:r w:rsidR="00FC6B6D">
          <w:rPr>
            <w:noProof/>
            <w:webHidden/>
          </w:rPr>
          <w:fldChar w:fldCharType="begin"/>
        </w:r>
        <w:r w:rsidR="00FC6B6D">
          <w:rPr>
            <w:noProof/>
            <w:webHidden/>
          </w:rPr>
          <w:instrText xml:space="preserve"> PAGEREF _Toc446071678 \h </w:instrText>
        </w:r>
        <w:r w:rsidR="00FC6B6D">
          <w:rPr>
            <w:noProof/>
            <w:webHidden/>
          </w:rPr>
        </w:r>
        <w:r w:rsidR="00FC6B6D">
          <w:rPr>
            <w:noProof/>
            <w:webHidden/>
          </w:rPr>
          <w:fldChar w:fldCharType="separate"/>
        </w:r>
        <w:r w:rsidR="00A05A5B">
          <w:rPr>
            <w:noProof/>
            <w:webHidden/>
          </w:rPr>
          <w:t>8</w:t>
        </w:r>
        <w:r w:rsidR="00FC6B6D">
          <w:rPr>
            <w:noProof/>
            <w:webHidden/>
          </w:rPr>
          <w:fldChar w:fldCharType="end"/>
        </w:r>
      </w:hyperlink>
    </w:p>
    <w:p w14:paraId="0BE9C868" w14:textId="77777777" w:rsidR="00FC6B6D" w:rsidRDefault="00E2443B">
      <w:pPr>
        <w:pStyle w:val="TableofFigures"/>
        <w:rPr>
          <w:rFonts w:asciiTheme="minorHAnsi" w:eastAsiaTheme="minorEastAsia" w:hAnsiTheme="minorHAnsi" w:cstheme="minorBidi"/>
          <w:noProof/>
          <w:szCs w:val="22"/>
        </w:rPr>
      </w:pPr>
      <w:hyperlink w:anchor="_Toc446071679" w:history="1">
        <w:r w:rsidR="00FC6B6D" w:rsidRPr="00973B93">
          <w:rPr>
            <w:rStyle w:val="Hyperlink"/>
            <w:noProof/>
          </w:rPr>
          <w:t>Table 4. Grade 8 Reading Content Alignment and Blueprint Consistency Results</w:t>
        </w:r>
        <w:r w:rsidR="00FC6B6D">
          <w:rPr>
            <w:noProof/>
            <w:webHidden/>
          </w:rPr>
          <w:tab/>
        </w:r>
        <w:r w:rsidR="00FC6B6D">
          <w:rPr>
            <w:noProof/>
            <w:webHidden/>
          </w:rPr>
          <w:fldChar w:fldCharType="begin"/>
        </w:r>
        <w:r w:rsidR="00FC6B6D">
          <w:rPr>
            <w:noProof/>
            <w:webHidden/>
          </w:rPr>
          <w:instrText xml:space="preserve"> PAGEREF _Toc446071679 \h </w:instrText>
        </w:r>
        <w:r w:rsidR="00FC6B6D">
          <w:rPr>
            <w:noProof/>
            <w:webHidden/>
          </w:rPr>
        </w:r>
        <w:r w:rsidR="00FC6B6D">
          <w:rPr>
            <w:noProof/>
            <w:webHidden/>
          </w:rPr>
          <w:fldChar w:fldCharType="separate"/>
        </w:r>
        <w:r w:rsidR="00A05A5B">
          <w:rPr>
            <w:noProof/>
            <w:webHidden/>
          </w:rPr>
          <w:t>8</w:t>
        </w:r>
        <w:r w:rsidR="00FC6B6D">
          <w:rPr>
            <w:noProof/>
            <w:webHidden/>
          </w:rPr>
          <w:fldChar w:fldCharType="end"/>
        </w:r>
      </w:hyperlink>
    </w:p>
    <w:p w14:paraId="22B9E44C" w14:textId="77777777" w:rsidR="00FC6B6D" w:rsidRDefault="00E2443B">
      <w:pPr>
        <w:pStyle w:val="TableofFigures"/>
        <w:rPr>
          <w:rFonts w:asciiTheme="minorHAnsi" w:eastAsiaTheme="minorEastAsia" w:hAnsiTheme="minorHAnsi" w:cstheme="minorBidi"/>
          <w:noProof/>
          <w:szCs w:val="22"/>
        </w:rPr>
      </w:pPr>
      <w:hyperlink w:anchor="_Toc446071680" w:history="1">
        <w:r w:rsidR="00FC6B6D" w:rsidRPr="00973B93">
          <w:rPr>
            <w:rStyle w:val="Hyperlink"/>
            <w:noProof/>
          </w:rPr>
          <w:t>Table 5. Grade 4 Writing Content Alignment and Blueprint Consistency Results</w:t>
        </w:r>
        <w:r w:rsidR="00FC6B6D">
          <w:rPr>
            <w:noProof/>
            <w:webHidden/>
          </w:rPr>
          <w:tab/>
        </w:r>
        <w:r w:rsidR="00FC6B6D">
          <w:rPr>
            <w:noProof/>
            <w:webHidden/>
          </w:rPr>
          <w:fldChar w:fldCharType="begin"/>
        </w:r>
        <w:r w:rsidR="00FC6B6D">
          <w:rPr>
            <w:noProof/>
            <w:webHidden/>
          </w:rPr>
          <w:instrText xml:space="preserve"> PAGEREF _Toc446071680 \h </w:instrText>
        </w:r>
        <w:r w:rsidR="00FC6B6D">
          <w:rPr>
            <w:noProof/>
            <w:webHidden/>
          </w:rPr>
        </w:r>
        <w:r w:rsidR="00FC6B6D">
          <w:rPr>
            <w:noProof/>
            <w:webHidden/>
          </w:rPr>
          <w:fldChar w:fldCharType="separate"/>
        </w:r>
        <w:r w:rsidR="00A05A5B">
          <w:rPr>
            <w:noProof/>
            <w:webHidden/>
          </w:rPr>
          <w:t>9</w:t>
        </w:r>
        <w:r w:rsidR="00FC6B6D">
          <w:rPr>
            <w:noProof/>
            <w:webHidden/>
          </w:rPr>
          <w:fldChar w:fldCharType="end"/>
        </w:r>
      </w:hyperlink>
    </w:p>
    <w:p w14:paraId="5077F905" w14:textId="77777777" w:rsidR="00FC6B6D" w:rsidRDefault="00E2443B">
      <w:pPr>
        <w:pStyle w:val="TableofFigures"/>
        <w:rPr>
          <w:rFonts w:asciiTheme="minorHAnsi" w:eastAsiaTheme="minorEastAsia" w:hAnsiTheme="minorHAnsi" w:cstheme="minorBidi"/>
          <w:noProof/>
          <w:szCs w:val="22"/>
        </w:rPr>
      </w:pPr>
      <w:hyperlink w:anchor="_Toc446071681" w:history="1">
        <w:r w:rsidR="00FC6B6D" w:rsidRPr="00973B93">
          <w:rPr>
            <w:rStyle w:val="Hyperlink"/>
            <w:noProof/>
          </w:rPr>
          <w:t>Table 6. Grade 7 Writing Content Alignment and Blueprint Consistency Results</w:t>
        </w:r>
        <w:r w:rsidR="00FC6B6D">
          <w:rPr>
            <w:noProof/>
            <w:webHidden/>
          </w:rPr>
          <w:tab/>
        </w:r>
        <w:r w:rsidR="00FC6B6D">
          <w:rPr>
            <w:noProof/>
            <w:webHidden/>
          </w:rPr>
          <w:fldChar w:fldCharType="begin"/>
        </w:r>
        <w:r w:rsidR="00FC6B6D">
          <w:rPr>
            <w:noProof/>
            <w:webHidden/>
          </w:rPr>
          <w:instrText xml:space="preserve"> PAGEREF _Toc446071681 \h </w:instrText>
        </w:r>
        <w:r w:rsidR="00FC6B6D">
          <w:rPr>
            <w:noProof/>
            <w:webHidden/>
          </w:rPr>
        </w:r>
        <w:r w:rsidR="00FC6B6D">
          <w:rPr>
            <w:noProof/>
            <w:webHidden/>
          </w:rPr>
          <w:fldChar w:fldCharType="separate"/>
        </w:r>
        <w:r w:rsidR="00A05A5B">
          <w:rPr>
            <w:noProof/>
            <w:webHidden/>
          </w:rPr>
          <w:t>10</w:t>
        </w:r>
        <w:r w:rsidR="00FC6B6D">
          <w:rPr>
            <w:noProof/>
            <w:webHidden/>
          </w:rPr>
          <w:fldChar w:fldCharType="end"/>
        </w:r>
      </w:hyperlink>
    </w:p>
    <w:p w14:paraId="2599249D" w14:textId="77777777" w:rsidR="00FC6B6D" w:rsidRDefault="00E2443B">
      <w:pPr>
        <w:pStyle w:val="TableofFigures"/>
        <w:rPr>
          <w:rFonts w:asciiTheme="minorHAnsi" w:eastAsiaTheme="minorEastAsia" w:hAnsiTheme="minorHAnsi" w:cstheme="minorBidi"/>
          <w:noProof/>
          <w:szCs w:val="22"/>
        </w:rPr>
      </w:pPr>
      <w:hyperlink w:anchor="_Toc446071682" w:history="1">
        <w:r w:rsidR="00FC6B6D" w:rsidRPr="00973B93">
          <w:rPr>
            <w:rStyle w:val="Hyperlink"/>
            <w:noProof/>
          </w:rPr>
          <w:t>Table 7. Projected Reliability and SEM Estimates</w:t>
        </w:r>
        <w:r w:rsidR="00FC6B6D">
          <w:rPr>
            <w:noProof/>
            <w:webHidden/>
          </w:rPr>
          <w:tab/>
        </w:r>
        <w:r w:rsidR="00FC6B6D">
          <w:rPr>
            <w:noProof/>
            <w:webHidden/>
          </w:rPr>
          <w:fldChar w:fldCharType="begin"/>
        </w:r>
        <w:r w:rsidR="00FC6B6D">
          <w:rPr>
            <w:noProof/>
            <w:webHidden/>
          </w:rPr>
          <w:instrText xml:space="preserve"> PAGEREF _Toc446071682 \h </w:instrText>
        </w:r>
        <w:r w:rsidR="00FC6B6D">
          <w:rPr>
            <w:noProof/>
            <w:webHidden/>
          </w:rPr>
        </w:r>
        <w:r w:rsidR="00FC6B6D">
          <w:rPr>
            <w:noProof/>
            <w:webHidden/>
          </w:rPr>
          <w:fldChar w:fldCharType="separate"/>
        </w:r>
        <w:r w:rsidR="00A05A5B">
          <w:rPr>
            <w:noProof/>
            <w:webHidden/>
          </w:rPr>
          <w:t>11</w:t>
        </w:r>
        <w:r w:rsidR="00FC6B6D">
          <w:rPr>
            <w:noProof/>
            <w:webHidden/>
          </w:rPr>
          <w:fldChar w:fldCharType="end"/>
        </w:r>
      </w:hyperlink>
    </w:p>
    <w:p w14:paraId="1344BC1D" w14:textId="77777777" w:rsidR="000629E5" w:rsidRPr="003B2AB8" w:rsidRDefault="00695F3C" w:rsidP="00A006B2">
      <w:pPr>
        <w:pStyle w:val="HNewReportNumber"/>
        <w:jc w:val="left"/>
        <w:rPr>
          <w:rFonts w:ascii="Arial" w:hAnsi="Arial"/>
          <w:b w:val="0"/>
          <w:color w:val="auto"/>
          <w:sz w:val="20"/>
          <w:szCs w:val="20"/>
        </w:rPr>
      </w:pPr>
      <w:r w:rsidRPr="003B2AB8">
        <w:rPr>
          <w:rFonts w:ascii="Arial" w:hAnsi="Arial"/>
          <w:b w:val="0"/>
          <w:color w:val="auto"/>
          <w:sz w:val="20"/>
          <w:szCs w:val="20"/>
        </w:rPr>
        <w:fldChar w:fldCharType="end"/>
      </w:r>
    </w:p>
    <w:p w14:paraId="4EF1631A" w14:textId="77777777" w:rsidR="000629E5" w:rsidRPr="003B2AB8" w:rsidRDefault="000629E5" w:rsidP="00A006B2">
      <w:pPr>
        <w:pStyle w:val="HNewReportNumber"/>
        <w:jc w:val="left"/>
        <w:rPr>
          <w:rFonts w:ascii="Arial" w:hAnsi="Arial"/>
          <w:b w:val="0"/>
          <w:color w:val="auto"/>
          <w:sz w:val="20"/>
          <w:szCs w:val="20"/>
        </w:rPr>
      </w:pPr>
    </w:p>
    <w:p w14:paraId="1D73A9A0" w14:textId="77777777" w:rsidR="000443AA" w:rsidRPr="003B2AB8" w:rsidRDefault="000443AA" w:rsidP="00A006B2">
      <w:pPr>
        <w:pStyle w:val="HNewReportNumber"/>
        <w:jc w:val="left"/>
        <w:rPr>
          <w:rFonts w:ascii="Arial" w:hAnsi="Arial"/>
          <w:b w:val="0"/>
          <w:color w:val="auto"/>
          <w:sz w:val="20"/>
          <w:szCs w:val="20"/>
        </w:rPr>
      </w:pPr>
    </w:p>
    <w:p w14:paraId="793F160B" w14:textId="77777777" w:rsidR="00615EBF" w:rsidRPr="003B2AB8" w:rsidRDefault="00615EBF" w:rsidP="00A006B2">
      <w:pPr>
        <w:pStyle w:val="HNewReportNumber"/>
        <w:jc w:val="left"/>
        <w:rPr>
          <w:rFonts w:ascii="Arial" w:hAnsi="Arial"/>
          <w:b w:val="0"/>
          <w:color w:val="auto"/>
          <w:sz w:val="20"/>
          <w:szCs w:val="20"/>
        </w:rPr>
      </w:pPr>
    </w:p>
    <w:p w14:paraId="043DA9AC" w14:textId="77777777" w:rsidR="00615EBF" w:rsidRPr="003B2AB8" w:rsidRDefault="00615EBF" w:rsidP="00615EBF"/>
    <w:p w14:paraId="4CA2E0C2" w14:textId="77777777" w:rsidR="00615EBF" w:rsidRPr="003B2AB8" w:rsidRDefault="00615EBF" w:rsidP="00615EBF"/>
    <w:p w14:paraId="1F9551F0" w14:textId="232852B6" w:rsidR="00615EBF" w:rsidRPr="003B2AB8" w:rsidRDefault="00615EBF" w:rsidP="00615EBF">
      <w:pPr>
        <w:tabs>
          <w:tab w:val="left" w:pos="3396"/>
        </w:tabs>
      </w:pPr>
    </w:p>
    <w:p w14:paraId="3E752766" w14:textId="5CF9E097" w:rsidR="000443AA" w:rsidRPr="003B2AB8" w:rsidRDefault="000443AA" w:rsidP="00615EBF">
      <w:pPr>
        <w:tabs>
          <w:tab w:val="left" w:pos="3396"/>
        </w:tabs>
        <w:sectPr w:rsidR="000443AA" w:rsidRPr="003B2AB8" w:rsidSect="000629E5">
          <w:headerReference w:type="even" r:id="rId10"/>
          <w:headerReference w:type="default" r:id="rId11"/>
          <w:footerReference w:type="even" r:id="rId12"/>
          <w:footerReference w:type="default" r:id="rId13"/>
          <w:pgSz w:w="12240" w:h="15840" w:code="1"/>
          <w:pgMar w:top="1440" w:right="1440" w:bottom="1440" w:left="1440" w:header="720" w:footer="720" w:gutter="0"/>
          <w:pgNumType w:fmt="lowerRoman" w:start="1"/>
          <w:cols w:space="720"/>
          <w:docGrid w:linePitch="299"/>
        </w:sectPr>
      </w:pPr>
    </w:p>
    <w:p w14:paraId="77FD29F0" w14:textId="0FBDA739" w:rsidR="00113149" w:rsidRPr="003B2AB8" w:rsidRDefault="00113149" w:rsidP="00113149">
      <w:pPr>
        <w:pStyle w:val="HReportTitle"/>
        <w:rPr>
          <w:sz w:val="28"/>
          <w:szCs w:val="28"/>
        </w:rPr>
      </w:pPr>
      <w:bookmarkStart w:id="4" w:name="_Toc425372460"/>
      <w:r w:rsidRPr="003B2AB8">
        <w:rPr>
          <w:sz w:val="28"/>
          <w:szCs w:val="28"/>
        </w:rPr>
        <w:lastRenderedPageBreak/>
        <w:t xml:space="preserve">Independent Evaluation of the Validity and Reliability of STAAR Grades 3-8 Assessment Scores: </w:t>
      </w:r>
      <w:r w:rsidR="00DB6D8D">
        <w:rPr>
          <w:sz w:val="28"/>
          <w:szCs w:val="28"/>
        </w:rPr>
        <w:t>Part 1</w:t>
      </w:r>
    </w:p>
    <w:p w14:paraId="4B89FBB3" w14:textId="77777777" w:rsidR="00113149" w:rsidRPr="003B2AB8" w:rsidRDefault="00113149" w:rsidP="00113149">
      <w:pPr>
        <w:pStyle w:val="HBodyText"/>
      </w:pPr>
    </w:p>
    <w:p w14:paraId="2D907F8F" w14:textId="74016DEA" w:rsidR="003035AA" w:rsidRPr="003B2AB8" w:rsidRDefault="003035AA" w:rsidP="00113149">
      <w:pPr>
        <w:pStyle w:val="HLevel1"/>
      </w:pPr>
      <w:bookmarkStart w:id="5" w:name="_Toc446343608"/>
      <w:r w:rsidRPr="003B2AB8">
        <w:t>Executive Summary</w:t>
      </w:r>
      <w:bookmarkEnd w:id="4"/>
      <w:bookmarkEnd w:id="5"/>
    </w:p>
    <w:p w14:paraId="18770F5A" w14:textId="11A10C4C" w:rsidR="00E2363C" w:rsidRPr="003B2AB8" w:rsidRDefault="00E2363C" w:rsidP="00E2363C">
      <w:pPr>
        <w:pStyle w:val="HBodyText"/>
      </w:pPr>
      <w:r w:rsidRPr="003B2AB8">
        <w:t>The Texas Education Agency (TEA) contracted with the Human Resources Research Organization (HumRRO) to provide an independent evaluation of the validity and reliability of the State of Texas Assessments of Academic Readiness (STAAR) scores, including grades 3-8 reading and mathematics, grades 4 and 7 writing, grades 5 and 8 science, and grade 8 social studies. The independent evaluation is intended to support HB 743, which states that before an assessment may be administered, “the assessment instrument must, on the basis of empirical evidence, be determined to be valid and reliable by an entity that is independent of the agency and of any other entity that developed the assessment instrument.” Our independent evaluation consists of three tasks that are intended to provide empirical evidence for both the validity of the STAAR scores (Task 1) and for the projected reliability of the assessment (Task 2). Validity and reliability are built into an assessment by ensuring the quality of all of the processes employed to produce student test scores. Under Task 3, we reviewed the procedures used to build and score the assessment. The review focuses on whether the procedures support the creation of valid a</w:t>
      </w:r>
      <w:r w:rsidR="00164868" w:rsidRPr="003B2AB8">
        <w:t xml:space="preserve">nd reliable assessment scores. </w:t>
      </w:r>
    </w:p>
    <w:p w14:paraId="65894DF8" w14:textId="77777777" w:rsidR="003035AA" w:rsidRPr="003B2AB8" w:rsidRDefault="003035AA" w:rsidP="00605002">
      <w:pPr>
        <w:pStyle w:val="HBodyText"/>
      </w:pPr>
    </w:p>
    <w:p w14:paraId="09E47757" w14:textId="1CC2EE7E" w:rsidR="00F77625" w:rsidRDefault="00F77625" w:rsidP="00F77625">
      <w:pPr>
        <w:pStyle w:val="HBodyText"/>
      </w:pPr>
      <w:r>
        <w:t>HumRRO’s</w:t>
      </w:r>
      <w:r w:rsidRPr="003B2AB8">
        <w:t xml:space="preserve"> independent evaluation finds </w:t>
      </w:r>
      <w:r>
        <w:t xml:space="preserve">support for the validity and reliability of the 2016 STAAR scores. Specifically:  </w:t>
      </w:r>
    </w:p>
    <w:p w14:paraId="0ADD358E" w14:textId="77777777" w:rsidR="008C3264" w:rsidRDefault="008C3264" w:rsidP="008C3264">
      <w:pPr>
        <w:pStyle w:val="HBodyText"/>
      </w:pPr>
    </w:p>
    <w:p w14:paraId="635C2C53" w14:textId="759A2628" w:rsidR="008C3264" w:rsidRPr="003B2AB8" w:rsidRDefault="008C3264" w:rsidP="008C3264">
      <w:pPr>
        <w:pStyle w:val="HBodyText"/>
        <w:numPr>
          <w:ilvl w:val="0"/>
          <w:numId w:val="43"/>
        </w:numPr>
      </w:pPr>
      <w:r>
        <w:t xml:space="preserve">Under </w:t>
      </w:r>
      <w:r w:rsidRPr="003B2AB8">
        <w:t>Task 1</w:t>
      </w:r>
      <w:r>
        <w:t>, we identified</w:t>
      </w:r>
      <w:r w:rsidRPr="003B2AB8">
        <w:t xml:space="preserve"> evidence </w:t>
      </w:r>
      <w:r w:rsidR="00F77625">
        <w:t>of</w:t>
      </w:r>
      <w:r w:rsidRPr="003B2AB8">
        <w:t xml:space="preserve"> the content validity of the assessments. The content review consisted of rating the alignment of each item to the </w:t>
      </w:r>
      <w:r w:rsidR="00F77625" w:rsidRPr="003B2AB8">
        <w:t xml:space="preserve">Texas Essential Knowledge and Skills (TEKS) </w:t>
      </w:r>
      <w:r w:rsidRPr="003B2AB8">
        <w:t>expectation th</w:t>
      </w:r>
      <w:r>
        <w:t xml:space="preserve">e </w:t>
      </w:r>
      <w:r w:rsidRPr="003B2AB8">
        <w:t xml:space="preserve">item was intended to measure. Overall, the content of the 2016 forms aligned with blueprints and the </w:t>
      </w:r>
      <w:r w:rsidR="00F77625">
        <w:t xml:space="preserve">vast majority of </w:t>
      </w:r>
      <w:r w:rsidRPr="003B2AB8">
        <w:t>items were aligned with the</w:t>
      </w:r>
      <w:r>
        <w:t xml:space="preserve"> TEKS</w:t>
      </w:r>
      <w:r w:rsidRPr="003B2AB8">
        <w:t xml:space="preserve"> expect</w:t>
      </w:r>
      <w:r w:rsidR="00F77625">
        <w:t xml:space="preserve">ations for </w:t>
      </w:r>
      <w:r w:rsidRPr="003B2AB8">
        <w:t xml:space="preserve">grades 5 and 8 mathematics and reading and grades 4 and 7 writing. </w:t>
      </w:r>
    </w:p>
    <w:p w14:paraId="621D5EA4" w14:textId="77777777" w:rsidR="008C3264" w:rsidRPr="003B2AB8" w:rsidRDefault="008C3264" w:rsidP="008C3264">
      <w:pPr>
        <w:pStyle w:val="HBodyText"/>
      </w:pPr>
    </w:p>
    <w:p w14:paraId="1BC4A866" w14:textId="0E1C8338" w:rsidR="008C3264" w:rsidRPr="003B2AB8" w:rsidRDefault="008C3264" w:rsidP="008C3264">
      <w:pPr>
        <w:pStyle w:val="HBodyText"/>
        <w:numPr>
          <w:ilvl w:val="0"/>
          <w:numId w:val="43"/>
        </w:numPr>
      </w:pPr>
      <w:r>
        <w:t xml:space="preserve">Our work associated with </w:t>
      </w:r>
      <w:r w:rsidRPr="003B2AB8">
        <w:t xml:space="preserve">Task 2 provided empirical evidence of the projected reliability and standard error of measurement for the 2016 forms. The projected reliability </w:t>
      </w:r>
      <w:r>
        <w:t xml:space="preserve">and </w:t>
      </w:r>
      <w:r w:rsidR="007F2690">
        <w:t>conditional standard error of measurement</w:t>
      </w:r>
      <w:r w:rsidRPr="003B2AB8">
        <w:t xml:space="preserve"> </w:t>
      </w:r>
      <w:r w:rsidR="007F2690">
        <w:t xml:space="preserve">(CSEM) estimates </w:t>
      </w:r>
      <w:r w:rsidRPr="003B2AB8">
        <w:t xml:space="preserve">were all acceptable. Assuming the 2016 students’ scores will have a similar distribution as the 2015 scores and assuming similar item functioning, the reliability </w:t>
      </w:r>
      <w:r>
        <w:t xml:space="preserve">and CSEM </w:t>
      </w:r>
      <w:r w:rsidRPr="003B2AB8">
        <w:t xml:space="preserve">estimates based on 2016 student data should be similarly acceptable. </w:t>
      </w:r>
    </w:p>
    <w:p w14:paraId="627D1D54" w14:textId="77777777" w:rsidR="008C3264" w:rsidRPr="003B2AB8" w:rsidRDefault="008C3264" w:rsidP="008C3264">
      <w:pPr>
        <w:pStyle w:val="HBodyText"/>
      </w:pPr>
    </w:p>
    <w:p w14:paraId="74DB1C45" w14:textId="17DC1CBC" w:rsidR="008C3264" w:rsidRPr="003B2AB8" w:rsidRDefault="008C3264" w:rsidP="008C3264">
      <w:pPr>
        <w:pStyle w:val="HBodyText"/>
        <w:numPr>
          <w:ilvl w:val="0"/>
          <w:numId w:val="43"/>
        </w:numPr>
      </w:pPr>
      <w:r w:rsidRPr="003B2AB8">
        <w:t xml:space="preserve">Finally, </w:t>
      </w:r>
      <w:r w:rsidR="00613425">
        <w:t xml:space="preserve">under </w:t>
      </w:r>
      <w:r>
        <w:t xml:space="preserve">Task 3, we </w:t>
      </w:r>
      <w:r w:rsidRPr="003B2AB8">
        <w:t>review</w:t>
      </w:r>
      <w:r w:rsidR="00F77625">
        <w:t>ed</w:t>
      </w:r>
      <w:r w:rsidRPr="003B2AB8">
        <w:t xml:space="preserve"> the documentation of the test construction and scoring processes. </w:t>
      </w:r>
      <w:r w:rsidR="001737CE" w:rsidRPr="003B2AB8">
        <w:t>Based on HumRRO’s 20 years of experience in student achievement testing</w:t>
      </w:r>
      <w:r w:rsidR="001737CE">
        <w:t xml:space="preserve"> and 30 years of experience in high-stakes test construction</w:t>
      </w:r>
      <w:r w:rsidRPr="003B2AB8">
        <w:t>, the process</w:t>
      </w:r>
      <w:r>
        <w:t>es</w:t>
      </w:r>
      <w:r w:rsidRPr="003B2AB8">
        <w:t xml:space="preserve"> used to construct the 2016 tests and the proposed methods for scoring the 2016 test are consistent with industry standards and support the development of tests that measure the knowledge and skills outlined in the content standards and test blueprint. The processes</w:t>
      </w:r>
      <w:r>
        <w:t xml:space="preserve"> allow for the</w:t>
      </w:r>
      <w:r w:rsidRPr="003B2AB8">
        <w:t xml:space="preserve"> development </w:t>
      </w:r>
      <w:r>
        <w:t xml:space="preserve">of tests that </w:t>
      </w:r>
      <w:r w:rsidR="00613425">
        <w:t>yield valid</w:t>
      </w:r>
      <w:r w:rsidRPr="003B2AB8">
        <w:t xml:space="preserve"> and reliable assessment scores. </w:t>
      </w:r>
    </w:p>
    <w:p w14:paraId="52E45D1B" w14:textId="77777777" w:rsidR="00812764" w:rsidRPr="003B2AB8" w:rsidRDefault="00812764" w:rsidP="003035AA">
      <w:pPr>
        <w:pStyle w:val="HBodyText"/>
      </w:pPr>
    </w:p>
    <w:p w14:paraId="6D8E176E" w14:textId="77777777" w:rsidR="00812764" w:rsidRPr="003B2AB8" w:rsidRDefault="00812764" w:rsidP="00812764">
      <w:pPr>
        <w:pStyle w:val="HBodyText"/>
      </w:pPr>
    </w:p>
    <w:p w14:paraId="7F25C058" w14:textId="7A0B7AD9" w:rsidR="00812764" w:rsidRPr="003B2AB8" w:rsidRDefault="00F77625" w:rsidP="00812764">
      <w:pPr>
        <w:pStyle w:val="HBodyText"/>
        <w:sectPr w:rsidR="00812764" w:rsidRPr="003B2AB8" w:rsidSect="00605002">
          <w:pgSz w:w="12240" w:h="15840" w:code="1"/>
          <w:pgMar w:top="1440" w:right="1440" w:bottom="1440" w:left="1440" w:header="720" w:footer="720" w:gutter="0"/>
          <w:pgNumType w:fmt="lowerRoman"/>
          <w:cols w:space="720"/>
          <w:docGrid w:linePitch="299"/>
        </w:sectPr>
      </w:pPr>
      <w:r>
        <w:t xml:space="preserve"> </w:t>
      </w:r>
    </w:p>
    <w:p w14:paraId="2F754B46" w14:textId="6A66B5A7" w:rsidR="00652A5A" w:rsidRPr="003B2AB8" w:rsidRDefault="00652A5A" w:rsidP="00652A5A">
      <w:pPr>
        <w:pStyle w:val="HReportTitle"/>
        <w:rPr>
          <w:sz w:val="28"/>
          <w:szCs w:val="28"/>
        </w:rPr>
      </w:pPr>
      <w:r w:rsidRPr="003B2AB8">
        <w:rPr>
          <w:sz w:val="28"/>
          <w:szCs w:val="28"/>
        </w:rPr>
        <w:t>Independent Evaluation of the Validity and Reliability</w:t>
      </w:r>
      <w:r w:rsidR="00407BC3" w:rsidRPr="003B2AB8">
        <w:rPr>
          <w:sz w:val="28"/>
          <w:szCs w:val="28"/>
        </w:rPr>
        <w:t xml:space="preserve"> of STAAR Grades 3-8 Assessment Scores</w:t>
      </w:r>
      <w:r w:rsidRPr="003B2AB8">
        <w:rPr>
          <w:sz w:val="28"/>
          <w:szCs w:val="28"/>
        </w:rPr>
        <w:t xml:space="preserve">: </w:t>
      </w:r>
      <w:r w:rsidR="00DB6D8D">
        <w:rPr>
          <w:sz w:val="28"/>
          <w:szCs w:val="28"/>
        </w:rPr>
        <w:t>Part 1</w:t>
      </w:r>
    </w:p>
    <w:p w14:paraId="41D58064" w14:textId="77777777" w:rsidR="000A02E9" w:rsidRPr="003B2AB8" w:rsidRDefault="000A02E9" w:rsidP="006D2FCD"/>
    <w:p w14:paraId="36AB4C81" w14:textId="75189757" w:rsidR="00F80C45" w:rsidRPr="003B2AB8" w:rsidRDefault="00F80C45" w:rsidP="00F80C45">
      <w:pPr>
        <w:pStyle w:val="HBodyText"/>
      </w:pPr>
      <w:r w:rsidRPr="003B2AB8">
        <w:t xml:space="preserve">The Texas </w:t>
      </w:r>
      <w:r w:rsidR="00727093" w:rsidRPr="003B2AB8">
        <w:t>Education Agency (TEA</w:t>
      </w:r>
      <w:r w:rsidRPr="003B2AB8">
        <w:t xml:space="preserve">) contracted with </w:t>
      </w:r>
      <w:r w:rsidR="00DD2A5F" w:rsidRPr="003B2AB8">
        <w:t>the Human Resources Research Organization (</w:t>
      </w:r>
      <w:r w:rsidRPr="003B2AB8">
        <w:t>HumRRO</w:t>
      </w:r>
      <w:r w:rsidR="00DD2A5F" w:rsidRPr="003B2AB8">
        <w:t>)</w:t>
      </w:r>
      <w:r w:rsidRPr="003B2AB8">
        <w:t xml:space="preserve"> to provide </w:t>
      </w:r>
      <w:r w:rsidR="00652A5A" w:rsidRPr="003B2AB8">
        <w:t xml:space="preserve">an independent evaluation </w:t>
      </w:r>
      <w:r w:rsidRPr="003B2AB8">
        <w:t xml:space="preserve">of the validity and reliability of </w:t>
      </w:r>
      <w:r w:rsidR="00652A5A" w:rsidRPr="003B2AB8">
        <w:t>t</w:t>
      </w:r>
      <w:r w:rsidR="00727093" w:rsidRPr="003B2AB8">
        <w:t>he State of Texas Assessments of Academic Readiness (</w:t>
      </w:r>
      <w:r w:rsidRPr="003B2AB8">
        <w:t>STA</w:t>
      </w:r>
      <w:r w:rsidR="00EB2DE7" w:rsidRPr="003B2AB8">
        <w:t>A</w:t>
      </w:r>
      <w:r w:rsidRPr="003B2AB8">
        <w:t>R</w:t>
      </w:r>
      <w:r w:rsidR="00727093" w:rsidRPr="003B2AB8">
        <w:t>)</w:t>
      </w:r>
      <w:r w:rsidR="00407BC3" w:rsidRPr="003B2AB8">
        <w:t xml:space="preserve"> scores</w:t>
      </w:r>
      <w:r w:rsidRPr="003B2AB8">
        <w:t xml:space="preserve">, including grades 3-8 </w:t>
      </w:r>
      <w:r w:rsidR="00310198" w:rsidRPr="003B2AB8">
        <w:t xml:space="preserve">reading </w:t>
      </w:r>
      <w:r w:rsidRPr="003B2AB8">
        <w:t xml:space="preserve">and </w:t>
      </w:r>
      <w:r w:rsidR="00310198" w:rsidRPr="003B2AB8">
        <w:t>mathematics</w:t>
      </w:r>
      <w:r w:rsidRPr="003B2AB8">
        <w:t xml:space="preserve">, grades 4 and 7 </w:t>
      </w:r>
      <w:r w:rsidR="00310198" w:rsidRPr="003B2AB8">
        <w:t>writing</w:t>
      </w:r>
      <w:r w:rsidRPr="003B2AB8">
        <w:t xml:space="preserve">, grades 5 and 8 </w:t>
      </w:r>
      <w:r w:rsidR="00310198" w:rsidRPr="003B2AB8">
        <w:t xml:space="preserve">science, </w:t>
      </w:r>
      <w:r w:rsidRPr="003B2AB8">
        <w:t xml:space="preserve">and grade 8 </w:t>
      </w:r>
      <w:r w:rsidR="00310198" w:rsidRPr="003B2AB8">
        <w:t>social studies</w:t>
      </w:r>
      <w:r w:rsidRPr="003B2AB8">
        <w:t xml:space="preserve">. The </w:t>
      </w:r>
      <w:r w:rsidR="00652A5A" w:rsidRPr="003B2AB8">
        <w:t>independent evaluation</w:t>
      </w:r>
      <w:r w:rsidRPr="003B2AB8">
        <w:t xml:space="preserve"> is intended to support HB 743</w:t>
      </w:r>
      <w:r w:rsidR="00310198" w:rsidRPr="003B2AB8">
        <w:t>,</w:t>
      </w:r>
      <w:r w:rsidRPr="003B2AB8">
        <w:t xml:space="preserve"> which </w:t>
      </w:r>
      <w:r w:rsidR="00310198" w:rsidRPr="003B2AB8">
        <w:t xml:space="preserve">states </w:t>
      </w:r>
      <w:r w:rsidRPr="003B2AB8">
        <w:t>that before an assessment may be administered, “the assessment instrument must, on the basis of empirical evidence, be determined to be valid and reliable by an entity that is independent of the agency and of any other entity that developed the assessment instrument</w:t>
      </w:r>
      <w:r w:rsidR="00381773" w:rsidRPr="003B2AB8">
        <w:t>.”</w:t>
      </w:r>
      <w:r w:rsidRPr="003B2AB8">
        <w:t xml:space="preserve"> Our </w:t>
      </w:r>
      <w:r w:rsidR="00615EBF" w:rsidRPr="003B2AB8">
        <w:t>independent evaluation</w:t>
      </w:r>
      <w:r w:rsidRPr="003B2AB8">
        <w:t xml:space="preserve"> consists of three tasks that are intended to provide empirical evidence for </w:t>
      </w:r>
      <w:r w:rsidR="00345468" w:rsidRPr="003B2AB8">
        <w:t xml:space="preserve">both the </w:t>
      </w:r>
      <w:r w:rsidRPr="003B2AB8">
        <w:t xml:space="preserve">validity of the </w:t>
      </w:r>
      <w:r w:rsidR="00345468" w:rsidRPr="003B2AB8">
        <w:t>STAAR scores</w:t>
      </w:r>
      <w:r w:rsidRPr="003B2AB8">
        <w:t xml:space="preserve"> (Task 1) and for the projected reliability of the assessment (Task 2). </w:t>
      </w:r>
      <w:r w:rsidR="00310198" w:rsidRPr="003B2AB8">
        <w:t>V</w:t>
      </w:r>
      <w:r w:rsidR="00D63FAA" w:rsidRPr="003B2AB8">
        <w:t xml:space="preserve">alidity and reliability are built into an assessment by </w:t>
      </w:r>
      <w:r w:rsidR="00345468" w:rsidRPr="003B2AB8">
        <w:t xml:space="preserve">ensuring </w:t>
      </w:r>
      <w:r w:rsidR="00D63FAA" w:rsidRPr="003B2AB8">
        <w:t>the quality of all of the processes employed to produce student test scores. Under Task 3, we reviewed the procedures used to build and score the assessment. The review focuses on whether the procedures support the creation of valid and reliable assessment</w:t>
      </w:r>
      <w:r w:rsidR="00345468" w:rsidRPr="003B2AB8">
        <w:t xml:space="preserve"> scores</w:t>
      </w:r>
      <w:r w:rsidR="00605002" w:rsidRPr="003B2AB8">
        <w:t xml:space="preserve">. </w:t>
      </w:r>
    </w:p>
    <w:p w14:paraId="64A2B1F9" w14:textId="77777777" w:rsidR="00D63FAA" w:rsidRPr="003B2AB8" w:rsidRDefault="00D63FAA" w:rsidP="00F80C45">
      <w:pPr>
        <w:pStyle w:val="HBodyText"/>
      </w:pPr>
    </w:p>
    <w:p w14:paraId="509297BD" w14:textId="3F735D0E" w:rsidR="00D63FAA" w:rsidRPr="003B2AB8" w:rsidRDefault="00D63FAA" w:rsidP="00F80C45">
      <w:pPr>
        <w:pStyle w:val="HBodyText"/>
      </w:pPr>
      <w:r w:rsidRPr="003B2AB8">
        <w:t>This report includes results</w:t>
      </w:r>
      <w:r w:rsidR="00F37FDB">
        <w:t xml:space="preserve"> of the content review </w:t>
      </w:r>
      <w:r w:rsidR="007F2690">
        <w:t xml:space="preserve">of the 2016 STAAR forms, projected reliability and standard error of measurement estimates for the 2016 STAAR forms and a review of the </w:t>
      </w:r>
      <w:r w:rsidR="007F2690" w:rsidRPr="003B2AB8">
        <w:t>processes used to create, administer, and score STAAR</w:t>
      </w:r>
      <w:r w:rsidR="007F2690">
        <w:t xml:space="preserve">. This report includes results </w:t>
      </w:r>
      <w:r w:rsidRPr="003B2AB8">
        <w:t xml:space="preserve">for grades 5 and 8 </w:t>
      </w:r>
      <w:r w:rsidR="00310198" w:rsidRPr="003B2AB8">
        <w:t xml:space="preserve">reading </w:t>
      </w:r>
      <w:r w:rsidRPr="003B2AB8">
        <w:t xml:space="preserve">and </w:t>
      </w:r>
      <w:r w:rsidR="00310198" w:rsidRPr="003B2AB8">
        <w:t xml:space="preserve">mathematics, </w:t>
      </w:r>
      <w:r w:rsidRPr="003B2AB8">
        <w:t xml:space="preserve">and grades 4 and 7 </w:t>
      </w:r>
      <w:r w:rsidR="00310198" w:rsidRPr="003B2AB8">
        <w:t>writing</w:t>
      </w:r>
      <w:r w:rsidRPr="003B2AB8">
        <w:t xml:space="preserve">. </w:t>
      </w:r>
      <w:r w:rsidR="007F2690">
        <w:t>Part 2 of this report will include results for mathematics and reading grades 3, 4, 6 and 7, social studies grade 8, and science grades 5 and 8</w:t>
      </w:r>
      <w:r w:rsidRPr="003B2AB8">
        <w:t xml:space="preserve">. </w:t>
      </w:r>
    </w:p>
    <w:p w14:paraId="22D41849" w14:textId="77777777" w:rsidR="00820C57" w:rsidRPr="003B2AB8" w:rsidRDefault="00820C57" w:rsidP="007D0070"/>
    <w:p w14:paraId="3DB46E34" w14:textId="77777777" w:rsidR="00820C57" w:rsidRPr="003B2AB8" w:rsidRDefault="00820C57" w:rsidP="00113149">
      <w:pPr>
        <w:pStyle w:val="HLevel1"/>
      </w:pPr>
      <w:bookmarkStart w:id="6" w:name="_Toc446343609"/>
      <w:r w:rsidRPr="003B2AB8">
        <w:t>Overview of Validity and Reliability</w:t>
      </w:r>
      <w:bookmarkEnd w:id="6"/>
    </w:p>
    <w:p w14:paraId="4DF497E2" w14:textId="77777777" w:rsidR="00A16B40" w:rsidRPr="003B2AB8" w:rsidRDefault="00A16B40" w:rsidP="00DF2682">
      <w:pPr>
        <w:pStyle w:val="HLevel2"/>
        <w:rPr>
          <w:noProof w:val="0"/>
        </w:rPr>
      </w:pPr>
      <w:bookmarkStart w:id="7" w:name="_Toc446343610"/>
      <w:r w:rsidRPr="003B2AB8">
        <w:rPr>
          <w:noProof w:val="0"/>
        </w:rPr>
        <w:t>Validity</w:t>
      </w:r>
      <w:bookmarkEnd w:id="7"/>
    </w:p>
    <w:p w14:paraId="3B738E85" w14:textId="7595B835" w:rsidR="00820C57" w:rsidRPr="003B2AB8" w:rsidRDefault="00820C57" w:rsidP="00820C57">
      <w:pPr>
        <w:pStyle w:val="HBodyText"/>
      </w:pPr>
      <w:r w:rsidRPr="003B2AB8">
        <w:t xml:space="preserve">Over the last several decades, testing experts from </w:t>
      </w:r>
      <w:r w:rsidR="009810FF">
        <w:t>p</w:t>
      </w:r>
      <w:r w:rsidRPr="003B2AB8">
        <w:t>sychology</w:t>
      </w:r>
      <w:r w:rsidR="009810FF">
        <w:t xml:space="preserve"> and e</w:t>
      </w:r>
      <w:r w:rsidRPr="003B2AB8">
        <w:t>ducation</w:t>
      </w:r>
      <w:r w:rsidR="00E45D61" w:rsidRPr="003B2AB8">
        <w:rPr>
          <w:rStyle w:val="FootnoteReference"/>
        </w:rPr>
        <w:footnoteReference w:id="2"/>
      </w:r>
      <w:r w:rsidRPr="003B2AB8">
        <w:t xml:space="preserve"> have joined forces to create standards for </w:t>
      </w:r>
      <w:r w:rsidR="00BA0147">
        <w:t>evaluating</w:t>
      </w:r>
      <w:r w:rsidR="00BA0147" w:rsidRPr="003B2AB8">
        <w:t xml:space="preserve"> </w:t>
      </w:r>
      <w:r w:rsidRPr="003B2AB8">
        <w:t>the validity and reliability of assessment</w:t>
      </w:r>
      <w:r w:rsidR="00345468" w:rsidRPr="003B2AB8">
        <w:t xml:space="preserve"> scores</w:t>
      </w:r>
      <w:r w:rsidRPr="003B2AB8">
        <w:t xml:space="preserve">, including </w:t>
      </w:r>
      <w:r w:rsidR="00345468" w:rsidRPr="003B2AB8">
        <w:t xml:space="preserve">those stemming from </w:t>
      </w:r>
      <w:r w:rsidRPr="003B2AB8">
        <w:t xml:space="preserve">student achievement tests such as </w:t>
      </w:r>
      <w:r w:rsidR="00E85F01" w:rsidRPr="003B2AB8">
        <w:t xml:space="preserve">the </w:t>
      </w:r>
      <w:r w:rsidRPr="003B2AB8">
        <w:t xml:space="preserve">STAAR. The latest version of the standards was published in 2014. Perhaps more </w:t>
      </w:r>
      <w:r w:rsidR="00D63FAA" w:rsidRPr="003B2AB8">
        <w:t xml:space="preserve">applicable to </w:t>
      </w:r>
      <w:r w:rsidRPr="003B2AB8">
        <w:t>Texas is the guidance given to states by the US Department of Education</w:t>
      </w:r>
      <w:r w:rsidR="00310198" w:rsidRPr="003B2AB8">
        <w:t>,</w:t>
      </w:r>
      <w:r w:rsidRPr="003B2AB8">
        <w:t xml:space="preserve"> which outlines requirements for the peer review of their student assessment programs.</w:t>
      </w:r>
      <w:r w:rsidRPr="003B2AB8">
        <w:rPr>
          <w:rStyle w:val="FootnoteReference"/>
        </w:rPr>
        <w:footnoteReference w:id="3"/>
      </w:r>
      <w:r w:rsidRPr="003B2AB8">
        <w:t xml:space="preserve"> The peer review document is</w:t>
      </w:r>
      <w:r w:rsidR="00345468" w:rsidRPr="003B2AB8">
        <w:t>,</w:t>
      </w:r>
      <w:r w:rsidRPr="003B2AB8">
        <w:t xml:space="preserve"> in essence</w:t>
      </w:r>
      <w:r w:rsidR="00345468" w:rsidRPr="003B2AB8">
        <w:t>,</w:t>
      </w:r>
      <w:r w:rsidRPr="003B2AB8">
        <w:t xml:space="preserve"> a distillation of </w:t>
      </w:r>
      <w:r w:rsidR="006F35D0" w:rsidRPr="003B2AB8">
        <w:t xml:space="preserve">several </w:t>
      </w:r>
      <w:r w:rsidRPr="003B2AB8">
        <w:t xml:space="preserve">relevant parts of the AERA/APA/NCME guidelines. The purpose of this report is not to address all of the requirements </w:t>
      </w:r>
      <w:r w:rsidR="006F35D0" w:rsidRPr="003B2AB8">
        <w:t xml:space="preserve">necessary </w:t>
      </w:r>
      <w:r w:rsidRPr="003B2AB8">
        <w:t xml:space="preserve">for peer review. That is beyond the scope of HumRRO’s contract. </w:t>
      </w:r>
      <w:r w:rsidR="00AD4F38" w:rsidRPr="003B2AB8">
        <w:t>Rather</w:t>
      </w:r>
      <w:r w:rsidRPr="003B2AB8">
        <w:t xml:space="preserve">, we are addressing </w:t>
      </w:r>
      <w:r w:rsidR="00310198" w:rsidRPr="003B2AB8">
        <w:t xml:space="preserve">the </w:t>
      </w:r>
      <w:r w:rsidRPr="003B2AB8">
        <w:t xml:space="preserve">Texas </w:t>
      </w:r>
      <w:r w:rsidR="00310198" w:rsidRPr="003B2AB8">
        <w:t xml:space="preserve">Legislature’s requirement </w:t>
      </w:r>
      <w:r w:rsidRPr="003B2AB8">
        <w:t>to provide a summary judgement</w:t>
      </w:r>
      <w:r w:rsidR="00727093" w:rsidRPr="003B2AB8">
        <w:t xml:space="preserve"> about the assessment prior to the spring administrations</w:t>
      </w:r>
      <w:r w:rsidRPr="003B2AB8">
        <w:t>. To that end, and to keep the following narrative accessible, we begin by hig</w:t>
      </w:r>
      <w:r w:rsidR="00727093" w:rsidRPr="003B2AB8">
        <w:t xml:space="preserve">hlighting a few relevant points related to validity and reliability. </w:t>
      </w:r>
    </w:p>
    <w:p w14:paraId="5B2F60DA" w14:textId="77777777" w:rsidR="00820C57" w:rsidRPr="003B2AB8" w:rsidRDefault="00820C57" w:rsidP="00820C57">
      <w:pPr>
        <w:pStyle w:val="HBodyText"/>
      </w:pPr>
    </w:p>
    <w:p w14:paraId="43A3718C" w14:textId="753C88F7" w:rsidR="00820C57" w:rsidRPr="003B2AB8" w:rsidRDefault="00820C57" w:rsidP="00820C57">
      <w:pPr>
        <w:pStyle w:val="HBodyText"/>
      </w:pPr>
      <w:r w:rsidRPr="003B2AB8">
        <w:t>“Validity” among testing experts concerns the legitimacy or acceptability of the interpretation and</w:t>
      </w:r>
      <w:r w:rsidR="00727093" w:rsidRPr="003B2AB8">
        <w:t xml:space="preserve"> use of ascribed test scores. </w:t>
      </w:r>
      <w:r w:rsidRPr="003B2AB8">
        <w:t>Validity is not viewed a</w:t>
      </w:r>
      <w:r w:rsidR="00727093" w:rsidRPr="003B2AB8">
        <w:t>s</w:t>
      </w:r>
      <w:r w:rsidRPr="003B2AB8">
        <w:t xml:space="preserve"> </w:t>
      </w:r>
      <w:r w:rsidR="006F35D0" w:rsidRPr="003B2AB8">
        <w:t xml:space="preserve">a </w:t>
      </w:r>
      <w:r w:rsidRPr="003B2AB8">
        <w:t>general property of a test because scores from a particular test may have more than one use. The major implication of this statement is that a given test score could be “valid” for one use but not for another. Evidence may exist to support one interpretation of the score but not another. This leads to the notion that test score use</w:t>
      </w:r>
      <w:r w:rsidR="006F35D0" w:rsidRPr="003B2AB8">
        <w:t>(s)</w:t>
      </w:r>
      <w:r w:rsidRPr="003B2AB8">
        <w:t xml:space="preserve"> must be clearly specified before any statement can be </w:t>
      </w:r>
      <w:r w:rsidR="00AD4F38" w:rsidRPr="003B2AB8">
        <w:t xml:space="preserve">made </w:t>
      </w:r>
      <w:r w:rsidRPr="003B2AB8">
        <w:t xml:space="preserve">about validity. Thus, HumRRO began its validity review by simply listing the uses ascribed to STAAR in technical documents available from the </w:t>
      </w:r>
      <w:r w:rsidR="00727093" w:rsidRPr="003B2AB8">
        <w:t>T</w:t>
      </w:r>
      <w:r w:rsidR="00242996" w:rsidRPr="003B2AB8">
        <w:t>EA</w:t>
      </w:r>
      <w:r w:rsidR="00727093" w:rsidRPr="003B2AB8">
        <w:t>.</w:t>
      </w:r>
      <w:r w:rsidRPr="003B2AB8">
        <w:t xml:space="preserve"> </w:t>
      </w:r>
    </w:p>
    <w:p w14:paraId="7047E657" w14:textId="77777777" w:rsidR="00820C57" w:rsidRPr="003B2AB8" w:rsidRDefault="00820C57" w:rsidP="007D0070"/>
    <w:p w14:paraId="115C99AF" w14:textId="60BCBB67" w:rsidR="00820C57" w:rsidRPr="003B2AB8" w:rsidRDefault="00820C57" w:rsidP="007D0070">
      <w:r w:rsidRPr="003B2AB8">
        <w:t xml:space="preserve">HumRRO </w:t>
      </w:r>
      <w:r w:rsidR="00727093" w:rsidRPr="003B2AB8">
        <w:t xml:space="preserve">reviewed </w:t>
      </w:r>
      <w:r w:rsidRPr="003B2AB8">
        <w:t>on-line documents</w:t>
      </w:r>
      <w:r w:rsidR="00E2363C" w:rsidRPr="003B2AB8">
        <w:t>, including</w:t>
      </w:r>
      <w:r w:rsidR="00E2363C" w:rsidRPr="003B2AB8">
        <w:rPr>
          <w:i/>
        </w:rPr>
        <w:t xml:space="preserve"> Interpreting Assessment Reports: </w:t>
      </w:r>
      <w:hyperlink r:id="rId14" w:tooltip="2014 IG-STAAR 3-8_rA" w:history="1">
        <w:r w:rsidR="00E2363C" w:rsidRPr="003B2AB8">
          <w:rPr>
            <w:i/>
          </w:rPr>
          <w:t>State of Texas Assessments of Academic Readiness (STAAR®) Grades 3-8</w:t>
        </w:r>
      </w:hyperlink>
      <w:r w:rsidR="00E2363C" w:rsidRPr="003B2AB8">
        <w:rPr>
          <w:rStyle w:val="FootnoteReference"/>
          <w:i/>
          <w:szCs w:val="22"/>
        </w:rPr>
        <w:footnoteReference w:id="4"/>
      </w:r>
      <w:r w:rsidR="00E2363C" w:rsidRPr="003B2AB8">
        <w:rPr>
          <w:i/>
        </w:rPr>
        <w:t xml:space="preserve"> </w:t>
      </w:r>
      <w:r w:rsidR="00E2363C" w:rsidRPr="003B2AB8">
        <w:t xml:space="preserve">and Chapter 4 of the </w:t>
      </w:r>
      <w:r w:rsidR="00E2363C" w:rsidRPr="003B2AB8">
        <w:rPr>
          <w:i/>
        </w:rPr>
        <w:t>2014-2015 Technical Digest,</w:t>
      </w:r>
      <w:r w:rsidR="00E2363C" w:rsidRPr="003B2AB8">
        <w:rPr>
          <w:rStyle w:val="FootnoteReference"/>
          <w:szCs w:val="22"/>
        </w:rPr>
        <w:footnoteReference w:id="5"/>
      </w:r>
      <w:r w:rsidR="00E2363C" w:rsidRPr="003B2AB8">
        <w:t xml:space="preserve"> </w:t>
      </w:r>
      <w:r w:rsidRPr="003B2AB8">
        <w:t>to identify uses for STAAR scores</w:t>
      </w:r>
      <w:r w:rsidR="001C46B0" w:rsidRPr="003B2AB8">
        <w:t xml:space="preserve"> for individual students</w:t>
      </w:r>
      <w:r w:rsidR="003B2AB8">
        <w:t>.</w:t>
      </w:r>
      <w:r w:rsidR="00727093" w:rsidRPr="003B2AB8">
        <w:t xml:space="preserve"> </w:t>
      </w:r>
      <w:r w:rsidRPr="003B2AB8">
        <w:t>Three validity themes were identified:</w:t>
      </w:r>
    </w:p>
    <w:p w14:paraId="28808EA4" w14:textId="6D76B579" w:rsidR="00820C57" w:rsidRPr="003B2AB8" w:rsidRDefault="00820C57" w:rsidP="00C214AA">
      <w:pPr>
        <w:pStyle w:val="ListParagraph"/>
        <w:tabs>
          <w:tab w:val="clear" w:pos="990"/>
        </w:tabs>
        <w:ind w:left="1080" w:hanging="360"/>
      </w:pPr>
      <w:r w:rsidRPr="003B2AB8">
        <w:t>STAAR grade/subject</w:t>
      </w:r>
      <w:r w:rsidR="00610499" w:rsidRPr="003B2AB8">
        <w:rPr>
          <w:rStyle w:val="FootnoteReference"/>
        </w:rPr>
        <w:footnoteReference w:id="6"/>
      </w:r>
      <w:r w:rsidRPr="003B2AB8">
        <w:t xml:space="preserve"> scores are intended to be </w:t>
      </w:r>
      <w:r w:rsidR="00310198" w:rsidRPr="003B2AB8">
        <w:t xml:space="preserve">representative </w:t>
      </w:r>
      <w:r w:rsidRPr="003B2AB8">
        <w:t>of what a student knows and can do in relation to that specific grade and subject. Th</w:t>
      </w:r>
      <w:r w:rsidR="000547D0">
        <w:t>is type of</w:t>
      </w:r>
      <w:r w:rsidRPr="003B2AB8">
        <w:t xml:space="preserve"> validity evidence </w:t>
      </w:r>
      <w:r w:rsidR="000547D0">
        <w:t>involves demonstrating that</w:t>
      </w:r>
      <w:r w:rsidRPr="003B2AB8">
        <w:t xml:space="preserve"> each grade/subject test bears a strong association with on-grade curriculum requirements</w:t>
      </w:r>
      <w:r w:rsidR="001C46B0" w:rsidRPr="003B2AB8">
        <w:t>, as defined by TEA standards and blueprints,</w:t>
      </w:r>
      <w:r w:rsidRPr="003B2AB8">
        <w:t xml:space="preserve"> for that grade and subject</w:t>
      </w:r>
      <w:r w:rsidR="001C46B0" w:rsidRPr="003B2AB8">
        <w:t>.</w:t>
      </w:r>
    </w:p>
    <w:p w14:paraId="66ECE8AA" w14:textId="77777777" w:rsidR="00820C57" w:rsidRPr="003B2AB8" w:rsidRDefault="00820C57" w:rsidP="00C214AA">
      <w:pPr>
        <w:pStyle w:val="ListParagraph"/>
        <w:tabs>
          <w:tab w:val="clear" w:pos="990"/>
        </w:tabs>
        <w:ind w:left="1080" w:hanging="360"/>
      </w:pPr>
      <w:r w:rsidRPr="003B2AB8">
        <w:t xml:space="preserve">STAAR grade/subject scores, when compared to scores for a prior grade, are intended to be an indication </w:t>
      </w:r>
      <w:r w:rsidR="00310198" w:rsidRPr="003B2AB8">
        <w:t xml:space="preserve">of </w:t>
      </w:r>
      <w:r w:rsidRPr="003B2AB8">
        <w:t xml:space="preserve">how much a student has </w:t>
      </w:r>
      <w:r w:rsidR="00065D66" w:rsidRPr="003B2AB8">
        <w:t xml:space="preserve">learned since the prior grade. </w:t>
      </w:r>
    </w:p>
    <w:p w14:paraId="29A6BFB7" w14:textId="77777777" w:rsidR="00727093" w:rsidRPr="003B2AB8" w:rsidRDefault="00820C57" w:rsidP="00C214AA">
      <w:pPr>
        <w:pStyle w:val="ListParagraph"/>
        <w:tabs>
          <w:tab w:val="clear" w:pos="990"/>
        </w:tabs>
        <w:ind w:left="1080" w:hanging="360"/>
      </w:pPr>
      <w:r w:rsidRPr="003B2AB8">
        <w:t xml:space="preserve">STAAR grade/subject scores are intended to be an indication of what students are likely to achieve in the future. </w:t>
      </w:r>
    </w:p>
    <w:p w14:paraId="7D158FEA" w14:textId="77777777" w:rsidR="00727093" w:rsidRPr="003B2AB8" w:rsidRDefault="00727093" w:rsidP="00B51A48">
      <w:pPr>
        <w:pStyle w:val="HBodyText"/>
      </w:pPr>
    </w:p>
    <w:p w14:paraId="3F3F0C4E" w14:textId="7E1CE122" w:rsidR="00727093" w:rsidRPr="003B2AB8" w:rsidRDefault="00820C57" w:rsidP="00727093">
      <w:r w:rsidRPr="003B2AB8">
        <w:t>For the purposes of our review, we focused on the first validity theme listed above, which is specific to the interpretation of on-grade STAAR scores</w:t>
      </w:r>
      <w:r w:rsidR="001C46B0" w:rsidRPr="003B2AB8">
        <w:t xml:space="preserve"> for individual students. </w:t>
      </w:r>
      <w:r w:rsidRPr="003B2AB8">
        <w:t xml:space="preserve">Validity </w:t>
      </w:r>
      <w:r w:rsidR="00800303" w:rsidRPr="003B2AB8">
        <w:t xml:space="preserve">evidence </w:t>
      </w:r>
      <w:r w:rsidRPr="003B2AB8">
        <w:t xml:space="preserve">associated with interpreting growth </w:t>
      </w:r>
      <w:r w:rsidR="00E2363C" w:rsidRPr="003B2AB8">
        <w:t xml:space="preserve">(theme 2) </w:t>
      </w:r>
      <w:r w:rsidRPr="003B2AB8">
        <w:t>or for projecting anticipated progress</w:t>
      </w:r>
      <w:r w:rsidR="00E2363C" w:rsidRPr="003B2AB8">
        <w:t xml:space="preserve"> (theme 3) </w:t>
      </w:r>
      <w:r w:rsidR="000547D0">
        <w:t>is</w:t>
      </w:r>
      <w:r w:rsidRPr="003B2AB8">
        <w:t xml:space="preserve"> outside the scope of this review. </w:t>
      </w:r>
    </w:p>
    <w:p w14:paraId="70C7CF65" w14:textId="77777777" w:rsidR="00727093" w:rsidRPr="003B2AB8" w:rsidRDefault="00727093" w:rsidP="00727093"/>
    <w:p w14:paraId="3C6C4556" w14:textId="0E0EECAD" w:rsidR="00727093" w:rsidRPr="003B2AB8" w:rsidRDefault="00727093" w:rsidP="00727093">
      <w:pPr>
        <w:pStyle w:val="HBodyText"/>
      </w:pPr>
      <w:r w:rsidRPr="003B2AB8">
        <w:t xml:space="preserve">Under Task 1, HumRRO conducted a content review to examine the content validity of </w:t>
      </w:r>
      <w:r w:rsidR="009810FF">
        <w:t xml:space="preserve">the 2016 </w:t>
      </w:r>
      <w:r w:rsidRPr="003B2AB8">
        <w:t>grades</w:t>
      </w:r>
      <w:r w:rsidR="00C214AA" w:rsidRPr="003B2AB8">
        <w:t> </w:t>
      </w:r>
      <w:r w:rsidRPr="003B2AB8">
        <w:t>3-8 STAAR</w:t>
      </w:r>
      <w:r w:rsidR="009810FF">
        <w:t xml:space="preserve"> test forms</w:t>
      </w:r>
      <w:r w:rsidRPr="003B2AB8">
        <w:t>. Specifically, this review sought to determine how well the 2016</w:t>
      </w:r>
      <w:r w:rsidR="00C214AA" w:rsidRPr="003B2AB8">
        <w:t> </w:t>
      </w:r>
      <w:r w:rsidRPr="003B2AB8">
        <w:t xml:space="preserve">STAAR </w:t>
      </w:r>
      <w:r w:rsidR="00DD48BF" w:rsidRPr="003B2AB8">
        <w:t>test forms</w:t>
      </w:r>
      <w:r w:rsidRPr="003B2AB8">
        <w:t xml:space="preserve"> align with the on-grade curriculum, as defined by the </w:t>
      </w:r>
      <w:r w:rsidR="00D9190B" w:rsidRPr="003B2AB8">
        <w:t xml:space="preserve">Texas </w:t>
      </w:r>
      <w:r w:rsidRPr="003B2AB8">
        <w:t xml:space="preserve">standards and </w:t>
      </w:r>
      <w:r w:rsidR="00D9190B" w:rsidRPr="003B2AB8">
        <w:t xml:space="preserve">assessment </w:t>
      </w:r>
      <w:r w:rsidRPr="003B2AB8">
        <w:t>blueprint</w:t>
      </w:r>
      <w:r w:rsidR="00DD48BF" w:rsidRPr="003B2AB8">
        <w:t>s</w:t>
      </w:r>
      <w:r w:rsidRPr="003B2AB8">
        <w:t>. Under Task 3</w:t>
      </w:r>
      <w:r w:rsidR="00DD48BF" w:rsidRPr="003B2AB8">
        <w:t>,</w:t>
      </w:r>
      <w:r w:rsidRPr="003B2AB8">
        <w:t xml:space="preserve"> we reviewed test</w:t>
      </w:r>
      <w:r w:rsidR="00381773" w:rsidRPr="003B2AB8">
        <w:t>-</w:t>
      </w:r>
      <w:r w:rsidRPr="003B2AB8">
        <w:t>building pr</w:t>
      </w:r>
      <w:r w:rsidR="00DD48BF" w:rsidRPr="003B2AB8">
        <w:t xml:space="preserve">ocedures </w:t>
      </w:r>
      <w:r w:rsidRPr="003B2AB8">
        <w:t>to assess the extent to which th</w:t>
      </w:r>
      <w:r w:rsidR="00DD48BF" w:rsidRPr="003B2AB8">
        <w:t xml:space="preserve">e </w:t>
      </w:r>
      <w:r w:rsidRPr="003B2AB8">
        <w:t xml:space="preserve">processes support intended test score interpretations. </w:t>
      </w:r>
    </w:p>
    <w:p w14:paraId="20ACC099" w14:textId="77777777" w:rsidR="00820C57" w:rsidRPr="003B2AB8" w:rsidRDefault="00820C57" w:rsidP="00727093">
      <w:pPr>
        <w:pStyle w:val="HBodyText"/>
      </w:pPr>
    </w:p>
    <w:p w14:paraId="1E656495" w14:textId="77777777" w:rsidR="00A16B40" w:rsidRPr="003B2AB8" w:rsidRDefault="00A16B40" w:rsidP="00DF2682">
      <w:pPr>
        <w:pStyle w:val="HLevel2"/>
        <w:rPr>
          <w:noProof w:val="0"/>
        </w:rPr>
      </w:pPr>
      <w:bookmarkStart w:id="8" w:name="_Toc446343611"/>
      <w:r w:rsidRPr="003B2AB8">
        <w:rPr>
          <w:noProof w:val="0"/>
        </w:rPr>
        <w:t>Reliability</w:t>
      </w:r>
      <w:bookmarkEnd w:id="8"/>
    </w:p>
    <w:p w14:paraId="32D0680B" w14:textId="436E490B" w:rsidR="00DD48BF" w:rsidRPr="003B2AB8" w:rsidRDefault="00820C57" w:rsidP="00820C57">
      <w:pPr>
        <w:pStyle w:val="HBodyText"/>
      </w:pPr>
      <w:r w:rsidRPr="003B2AB8">
        <w:t>“Reliability” concerns the repeatability of test scores</w:t>
      </w:r>
      <w:r w:rsidR="003B2AB8">
        <w:t>,</w:t>
      </w:r>
      <w:r w:rsidRPr="003B2AB8">
        <w:t xml:space="preserve"> and like validity, it is not a one-size-fits-all concept. There are different kinds of reliability</w:t>
      </w:r>
      <w:r w:rsidR="00C533F5" w:rsidRPr="003B2AB8">
        <w:t xml:space="preserve"> – </w:t>
      </w:r>
      <w:r w:rsidR="00800303" w:rsidRPr="003B2AB8">
        <w:t>and</w:t>
      </w:r>
      <w:r w:rsidR="001C46B0" w:rsidRPr="003B2AB8">
        <w:t xml:space="preserve"> </w:t>
      </w:r>
      <w:r w:rsidRPr="003B2AB8">
        <w:t>the most relevant kind of reliability for a test score</w:t>
      </w:r>
      <w:r w:rsidR="001C46B0" w:rsidRPr="003B2AB8">
        <w:t xml:space="preserve"> </w:t>
      </w:r>
      <w:r w:rsidRPr="003B2AB8">
        <w:t xml:space="preserve">depends on </w:t>
      </w:r>
      <w:r w:rsidR="00800303" w:rsidRPr="003B2AB8">
        <w:t>how that score is to be used</w:t>
      </w:r>
      <w:r w:rsidRPr="003B2AB8">
        <w:t xml:space="preserve">. </w:t>
      </w:r>
      <w:r w:rsidR="00E908CE" w:rsidRPr="003B2AB8">
        <w:t>I</w:t>
      </w:r>
      <w:r w:rsidRPr="003B2AB8">
        <w:t>nternal consistency reliability is an important consideration and the kind of reliabili</w:t>
      </w:r>
      <w:r w:rsidR="001C46B0" w:rsidRPr="003B2AB8">
        <w:t>ty that is typically analyzed</w:t>
      </w:r>
      <w:r w:rsidR="00E2363C" w:rsidRPr="003B2AB8">
        <w:t xml:space="preserve"> for large-scale educational assessment scores</w:t>
      </w:r>
      <w:r w:rsidR="001C46B0" w:rsidRPr="003B2AB8">
        <w:t xml:space="preserve">. </w:t>
      </w:r>
      <w:r w:rsidR="00E85F01" w:rsidRPr="003B2AB8">
        <w:t xml:space="preserve">This kind of test score reliability estimates how well a particular collection of test items relate to each other within the same theoretical domain. </w:t>
      </w:r>
      <w:r w:rsidR="00E45D61" w:rsidRPr="003B2AB8">
        <w:t xml:space="preserve">To the extent </w:t>
      </w:r>
      <w:r w:rsidRPr="003B2AB8">
        <w:t>that</w:t>
      </w:r>
      <w:r w:rsidR="00E45D61" w:rsidRPr="003B2AB8">
        <w:t xml:space="preserve"> a</w:t>
      </w:r>
      <w:r w:rsidRPr="003B2AB8">
        <w:t xml:space="preserve"> set of items is interrelated, or similar to each other, we can infer that other collecti</w:t>
      </w:r>
      <w:r w:rsidR="00E45D61" w:rsidRPr="003B2AB8">
        <w:t xml:space="preserve">ons of related items would </w:t>
      </w:r>
      <w:r w:rsidRPr="003B2AB8">
        <w:t xml:space="preserve">be likewise </w:t>
      </w:r>
      <w:r w:rsidR="00E85F01" w:rsidRPr="003B2AB8">
        <w:t>similar. That is, can we expect the same test score if the test contained a different set of items that were constructed in the same way as the given items?</w:t>
      </w:r>
    </w:p>
    <w:p w14:paraId="00344584" w14:textId="77777777" w:rsidR="00DD48BF" w:rsidRPr="003B2AB8" w:rsidRDefault="00DD48BF" w:rsidP="00820C57">
      <w:pPr>
        <w:pStyle w:val="HBodyText"/>
      </w:pPr>
    </w:p>
    <w:p w14:paraId="705B926C" w14:textId="327F3CD1" w:rsidR="00DD48BF" w:rsidRPr="003B2AB8" w:rsidRDefault="00DD48BF" w:rsidP="00820C57">
      <w:pPr>
        <w:pStyle w:val="HBodyText"/>
      </w:pPr>
      <w:r w:rsidRPr="003B2AB8">
        <w:t>A</w:t>
      </w:r>
      <w:r w:rsidR="00E908CE" w:rsidRPr="003B2AB8">
        <w:t>nother</w:t>
      </w:r>
      <w:r w:rsidRPr="003B2AB8">
        <w:t xml:space="preserve"> concept related to reliability is </w:t>
      </w:r>
      <w:r w:rsidR="00007AAF" w:rsidRPr="003B2AB8">
        <w:t>s</w:t>
      </w:r>
      <w:r w:rsidRPr="003B2AB8">
        <w:t xml:space="preserve">tandard </w:t>
      </w:r>
      <w:r w:rsidR="00007AAF" w:rsidRPr="003B2AB8">
        <w:t>e</w:t>
      </w:r>
      <w:r w:rsidRPr="003B2AB8">
        <w:t xml:space="preserve">rror of </w:t>
      </w:r>
      <w:r w:rsidR="00007AAF" w:rsidRPr="003B2AB8">
        <w:t>m</w:t>
      </w:r>
      <w:r w:rsidRPr="003B2AB8">
        <w:t xml:space="preserve">easurement (SEM). The technical term standard error of measurement refers to the notion that a test score cannot be perfect, and that every test score contains some degree of uncertainty. </w:t>
      </w:r>
      <w:r w:rsidR="00E85F01" w:rsidRPr="003B2AB8">
        <w:t xml:space="preserve">SEMs are computed for the entire range of test scores whereas </w:t>
      </w:r>
      <w:r w:rsidR="00E85F01" w:rsidRPr="003B2AB8">
        <w:rPr>
          <w:i/>
        </w:rPr>
        <w:t>conditional</w:t>
      </w:r>
      <w:r w:rsidR="00E85F01" w:rsidRPr="003B2AB8">
        <w:t xml:space="preserve"> standard errors of measurement (CSEM) vary depending on each possible score. </w:t>
      </w:r>
      <w:r w:rsidRPr="003B2AB8">
        <w:t>For example, if test items are all difficult, those items will be good for reducing uncertainty in reported scores for high achieving students, but will not be able to estimate achievement very well for average and below average students (who will all tend to have similar low scores). Small CSEM</w:t>
      </w:r>
      <w:r w:rsidR="00F3470E" w:rsidRPr="003B2AB8">
        <w:t xml:space="preserve"> estimates</w:t>
      </w:r>
      <w:r w:rsidRPr="003B2AB8">
        <w:t xml:space="preserve"> indicate that there is less un</w:t>
      </w:r>
      <w:r w:rsidR="00F3470E" w:rsidRPr="003B2AB8">
        <w:t xml:space="preserve">certainty in student scores. </w:t>
      </w:r>
      <w:r w:rsidR="00DF2682" w:rsidRPr="003B2AB8">
        <w:t>Estimates can be made at each score point and acro</w:t>
      </w:r>
      <w:r w:rsidR="00C214AA" w:rsidRPr="003B2AB8">
        <w:t xml:space="preserve">ss the distribution of scores. </w:t>
      </w:r>
    </w:p>
    <w:p w14:paraId="040D1F4B" w14:textId="77777777" w:rsidR="00DD48BF" w:rsidRPr="003B2AB8" w:rsidRDefault="00DD48BF" w:rsidP="00820C57">
      <w:pPr>
        <w:pStyle w:val="HBodyText"/>
      </w:pPr>
    </w:p>
    <w:p w14:paraId="06762AE2" w14:textId="06FC17FF" w:rsidR="00820C57" w:rsidRPr="003B2AB8" w:rsidRDefault="00DD48BF" w:rsidP="00820C57">
      <w:pPr>
        <w:pStyle w:val="HBodyText"/>
      </w:pPr>
      <w:r w:rsidRPr="003B2AB8">
        <w:t xml:space="preserve">Internal consistency reliability and SEM estimates cannot be computed for a test until student response data </w:t>
      </w:r>
      <w:r w:rsidR="005C740B" w:rsidRPr="003B2AB8">
        <w:t xml:space="preserve">are </w:t>
      </w:r>
      <w:r w:rsidRPr="003B2AB8">
        <w:t>available. However, we can make projections about the reliability and SEM using the item response theory (IRT) parameter estimates that were used to construct test forms and projection</w:t>
      </w:r>
      <w:r w:rsidR="00E908CE" w:rsidRPr="003B2AB8">
        <w:t>s</w:t>
      </w:r>
      <w:r w:rsidRPr="003B2AB8">
        <w:t xml:space="preserve"> of the distribution of student scores.</w:t>
      </w:r>
      <w:r w:rsidR="00A16B40" w:rsidRPr="003B2AB8">
        <w:t xml:space="preserve"> To the extent that the</w:t>
      </w:r>
      <w:r w:rsidR="00DF2682" w:rsidRPr="003B2AB8">
        <w:t xml:space="preserve"> </w:t>
      </w:r>
      <w:r w:rsidR="00A16B40" w:rsidRPr="003B2AB8">
        <w:t>items function similarly</w:t>
      </w:r>
      <w:r w:rsidR="00DF2682" w:rsidRPr="003B2AB8">
        <w:t xml:space="preserve"> in 2016</w:t>
      </w:r>
      <w:r w:rsidR="00A16B40" w:rsidRPr="003B2AB8">
        <w:t xml:space="preserve"> to </w:t>
      </w:r>
      <w:r w:rsidR="00DF2682" w:rsidRPr="003B2AB8">
        <w:t xml:space="preserve">previous administrations and the 2016 </w:t>
      </w:r>
      <w:r w:rsidR="00615EBF" w:rsidRPr="003B2AB8">
        <w:t xml:space="preserve">STAAR </w:t>
      </w:r>
      <w:r w:rsidR="00DF2682" w:rsidRPr="003B2AB8">
        <w:t xml:space="preserve">student score distribution is similar to the 2015 </w:t>
      </w:r>
      <w:r w:rsidR="00615EBF" w:rsidRPr="003B2AB8">
        <w:t xml:space="preserve">STAAR </w:t>
      </w:r>
      <w:r w:rsidR="00DF2682" w:rsidRPr="003B2AB8">
        <w:t>score distribution, the project</w:t>
      </w:r>
      <w:r w:rsidR="00E908CE" w:rsidRPr="003B2AB8">
        <w:t>ed</w:t>
      </w:r>
      <w:r w:rsidR="00DF2682" w:rsidRPr="003B2AB8">
        <w:t xml:space="preserve"> reliability and SEM estimates should be </w:t>
      </w:r>
      <w:r w:rsidR="00E908CE" w:rsidRPr="003B2AB8">
        <w:t xml:space="preserve">very </w:t>
      </w:r>
      <w:r w:rsidR="00DF2682" w:rsidRPr="003B2AB8">
        <w:t xml:space="preserve">similar to those computed after the test administrations. </w:t>
      </w:r>
      <w:r w:rsidR="00E908CE" w:rsidRPr="003B2AB8">
        <w:t>A summary of these analyses is presented under the Task 2 heading.</w:t>
      </w:r>
    </w:p>
    <w:p w14:paraId="7E57E123" w14:textId="77777777" w:rsidR="00820C57" w:rsidRPr="003B2AB8" w:rsidRDefault="00820C57" w:rsidP="00820C57"/>
    <w:p w14:paraId="0C64EF08" w14:textId="77777777" w:rsidR="00820C57" w:rsidRPr="003B2AB8" w:rsidRDefault="00820C57" w:rsidP="00113149">
      <w:pPr>
        <w:pStyle w:val="HLevel1"/>
      </w:pPr>
      <w:bookmarkStart w:id="9" w:name="_Toc446343612"/>
      <w:r w:rsidRPr="003B2AB8">
        <w:t>Task 1: Content Review</w:t>
      </w:r>
      <w:bookmarkEnd w:id="9"/>
    </w:p>
    <w:p w14:paraId="1732CE5D" w14:textId="04CE9735" w:rsidR="00820C57" w:rsidRPr="003B2AB8" w:rsidRDefault="00820C57" w:rsidP="00820C57">
      <w:r w:rsidRPr="003B2AB8">
        <w:t xml:space="preserve">HumRRO conducted a content review of </w:t>
      </w:r>
      <w:r w:rsidR="00242996" w:rsidRPr="003B2AB8">
        <w:t>t</w:t>
      </w:r>
      <w:r w:rsidRPr="003B2AB8">
        <w:t xml:space="preserve">he </w:t>
      </w:r>
      <w:r w:rsidR="00242996" w:rsidRPr="003B2AB8">
        <w:t>STAAR</w:t>
      </w:r>
      <w:r w:rsidRPr="003B2AB8">
        <w:t xml:space="preserve"> program to </w:t>
      </w:r>
      <w:r w:rsidR="00300FCD" w:rsidRPr="003B2AB8">
        <w:t xml:space="preserve">investigate the </w:t>
      </w:r>
      <w:r w:rsidR="008F3D8A" w:rsidRPr="003B2AB8">
        <w:t xml:space="preserve">content </w:t>
      </w:r>
      <w:r w:rsidR="00300FCD" w:rsidRPr="003B2AB8">
        <w:t>validity of scores</w:t>
      </w:r>
      <w:r w:rsidRPr="003B2AB8">
        <w:t xml:space="preserve"> </w:t>
      </w:r>
      <w:r w:rsidR="001C46B0" w:rsidRPr="003B2AB8">
        <w:t>for</w:t>
      </w:r>
      <w:r w:rsidRPr="003B2AB8">
        <w:t xml:space="preserve"> grades 3-8 assessments. Specifically, this review sought to determine how well the </w:t>
      </w:r>
      <w:r w:rsidR="00242996" w:rsidRPr="003B2AB8">
        <w:t xml:space="preserve">items on the 2016 </w:t>
      </w:r>
      <w:r w:rsidRPr="003B2AB8">
        <w:t>STAAR forms represented the</w:t>
      </w:r>
      <w:r w:rsidR="00242996" w:rsidRPr="003B2AB8">
        <w:t xml:space="preserve"> content domain, defined by the standard documents and </w:t>
      </w:r>
      <w:r w:rsidR="00300FCD" w:rsidRPr="003B2AB8">
        <w:t xml:space="preserve">test </w:t>
      </w:r>
      <w:r w:rsidR="00242996" w:rsidRPr="003B2AB8">
        <w:t>blueprint</w:t>
      </w:r>
      <w:r w:rsidR="00300FCD" w:rsidRPr="003B2AB8">
        <w:t>s</w:t>
      </w:r>
      <w:r w:rsidRPr="003B2AB8">
        <w:t xml:space="preserve">. This review included </w:t>
      </w:r>
      <w:r w:rsidR="00242996" w:rsidRPr="003B2AB8">
        <w:t xml:space="preserve">the 2016 </w:t>
      </w:r>
      <w:r w:rsidRPr="003B2AB8">
        <w:t xml:space="preserve">assessments forms, standards documentation, and blueprints for </w:t>
      </w:r>
      <w:r w:rsidR="005C740B" w:rsidRPr="003B2AB8">
        <w:t xml:space="preserve">mathematics </w:t>
      </w:r>
      <w:r w:rsidR="00242996" w:rsidRPr="003B2AB8">
        <w:t xml:space="preserve">and </w:t>
      </w:r>
      <w:r w:rsidR="005C740B" w:rsidRPr="003B2AB8">
        <w:t xml:space="preserve">reading </w:t>
      </w:r>
      <w:r w:rsidRPr="003B2AB8">
        <w:t xml:space="preserve">grades 5 and 8, and </w:t>
      </w:r>
      <w:r w:rsidR="005C740B" w:rsidRPr="003B2AB8">
        <w:t xml:space="preserve">writing </w:t>
      </w:r>
      <w:r w:rsidRPr="003B2AB8">
        <w:t>grades</w:t>
      </w:r>
      <w:r w:rsidR="00C214AA" w:rsidRPr="003B2AB8">
        <w:t> </w:t>
      </w:r>
      <w:r w:rsidRPr="003B2AB8">
        <w:t>4 and</w:t>
      </w:r>
      <w:r w:rsidR="00C533F5" w:rsidRPr="003B2AB8">
        <w:t> </w:t>
      </w:r>
      <w:r w:rsidRPr="003B2AB8">
        <w:t>7. The other grade</w:t>
      </w:r>
      <w:r w:rsidR="005C740B" w:rsidRPr="003B2AB8">
        <w:t>s</w:t>
      </w:r>
      <w:r w:rsidRPr="003B2AB8">
        <w:t xml:space="preserve"> 3-8 content areas assessed by the STAAR program will be reported separately.</w:t>
      </w:r>
      <w:r w:rsidR="008F3D8A" w:rsidRPr="003B2AB8">
        <w:t xml:space="preserve"> The intent of this review was not to conduct a full alignment study. To comply with </w:t>
      </w:r>
      <w:r w:rsidR="00E11784">
        <w:t xml:space="preserve">the </w:t>
      </w:r>
      <w:r w:rsidR="008F3D8A" w:rsidRPr="003B2AB8">
        <w:t xml:space="preserve">peer review requirements, </w:t>
      </w:r>
      <w:r w:rsidR="00E11784">
        <w:t xml:space="preserve">another contractor conducted </w:t>
      </w:r>
      <w:r w:rsidR="008F3D8A" w:rsidRPr="003B2AB8">
        <w:t xml:space="preserve">a full alignment study of the </w:t>
      </w:r>
      <w:r w:rsidR="00DB6D8D">
        <w:t>STAAR</w:t>
      </w:r>
      <w:r w:rsidR="008F3D8A" w:rsidRPr="003B2AB8">
        <w:t xml:space="preserve"> program</w:t>
      </w:r>
      <w:r w:rsidR="00E11784">
        <w:t>.</w:t>
      </w:r>
      <w:r w:rsidR="008F3D8A" w:rsidRPr="003B2AB8">
        <w:t xml:space="preserve"> </w:t>
      </w:r>
    </w:p>
    <w:p w14:paraId="13239211" w14:textId="77777777" w:rsidR="00820C57" w:rsidRPr="003B2AB8" w:rsidRDefault="00820C57" w:rsidP="00820C57"/>
    <w:p w14:paraId="56A74634" w14:textId="77777777" w:rsidR="00820C57" w:rsidRPr="003B2AB8" w:rsidRDefault="00820C57" w:rsidP="00DF2682">
      <w:pPr>
        <w:pStyle w:val="HLevel2"/>
        <w:rPr>
          <w:noProof w:val="0"/>
        </w:rPr>
      </w:pPr>
      <w:bookmarkStart w:id="10" w:name="_Toc446343613"/>
      <w:r w:rsidRPr="003B2AB8">
        <w:rPr>
          <w:noProof w:val="0"/>
        </w:rPr>
        <w:t>Background Information</w:t>
      </w:r>
      <w:bookmarkEnd w:id="10"/>
    </w:p>
    <w:p w14:paraId="6A3D2349" w14:textId="6450D0D8" w:rsidR="00820C57" w:rsidRPr="003B2AB8" w:rsidRDefault="00820C57" w:rsidP="00820C57">
      <w:pPr>
        <w:pStyle w:val="HBodyText"/>
      </w:pPr>
      <w:r w:rsidRPr="003B2AB8">
        <w:t xml:space="preserve">HumRRO </w:t>
      </w:r>
      <w:r w:rsidR="005C740B" w:rsidRPr="003B2AB8">
        <w:t xml:space="preserve">used </w:t>
      </w:r>
      <w:r w:rsidRPr="003B2AB8">
        <w:t>three main pieces of documentation for each grade and content area to conduct the content review</w:t>
      </w:r>
      <w:r w:rsidR="00381773" w:rsidRPr="003B2AB8">
        <w:t>:</w:t>
      </w:r>
      <w:r w:rsidRPr="003B2AB8">
        <w:t xml:space="preserve"> </w:t>
      </w:r>
      <w:r w:rsidR="00381773" w:rsidRPr="003B2AB8">
        <w:t>(</w:t>
      </w:r>
      <w:r w:rsidR="00615EBF" w:rsidRPr="003B2AB8">
        <w:t>a</w:t>
      </w:r>
      <w:r w:rsidRPr="003B2AB8">
        <w:t>) Eligible Texas Essential Knowledge and Skills for each assessment</w:t>
      </w:r>
      <w:r w:rsidR="00C03930" w:rsidRPr="003B2AB8">
        <w:rPr>
          <w:rStyle w:val="FootnoteReference"/>
        </w:rPr>
        <w:footnoteReference w:id="7"/>
      </w:r>
      <w:r w:rsidRPr="003B2AB8">
        <w:t xml:space="preserve">, </w:t>
      </w:r>
      <w:r w:rsidR="00381773" w:rsidRPr="003B2AB8">
        <w:t>(</w:t>
      </w:r>
      <w:r w:rsidR="00615EBF" w:rsidRPr="003B2AB8">
        <w:t>b</w:t>
      </w:r>
      <w:r w:rsidRPr="003B2AB8">
        <w:t>) assessment blueprints</w:t>
      </w:r>
      <w:r w:rsidR="00C03930" w:rsidRPr="003B2AB8">
        <w:rPr>
          <w:rStyle w:val="FootnoteReference"/>
        </w:rPr>
        <w:footnoteReference w:id="8"/>
      </w:r>
      <w:r w:rsidRPr="003B2AB8">
        <w:t xml:space="preserve">, and </w:t>
      </w:r>
      <w:r w:rsidR="00381773" w:rsidRPr="003B2AB8">
        <w:t>(</w:t>
      </w:r>
      <w:r w:rsidR="00615EBF" w:rsidRPr="003B2AB8">
        <w:t>c</w:t>
      </w:r>
      <w:r w:rsidRPr="003B2AB8">
        <w:t xml:space="preserve">) </w:t>
      </w:r>
      <w:r w:rsidR="00E2363C" w:rsidRPr="003B2AB8">
        <w:t xml:space="preserve">2016 </w:t>
      </w:r>
      <w:r w:rsidRPr="003B2AB8">
        <w:t xml:space="preserve">assessment forms. </w:t>
      </w:r>
    </w:p>
    <w:p w14:paraId="467FA506" w14:textId="77777777" w:rsidR="00242996" w:rsidRPr="003B2AB8" w:rsidRDefault="00242996" w:rsidP="00820C57">
      <w:pPr>
        <w:pStyle w:val="HBodyText"/>
      </w:pPr>
    </w:p>
    <w:p w14:paraId="29EABA89" w14:textId="24D94EA3" w:rsidR="00820C57" w:rsidRPr="003B2AB8" w:rsidRDefault="00820C57" w:rsidP="00820C57">
      <w:pPr>
        <w:pStyle w:val="HBodyText"/>
      </w:pPr>
      <w:r w:rsidRPr="003B2AB8">
        <w:t xml:space="preserve">The Texas STAAR program </w:t>
      </w:r>
      <w:r w:rsidR="005C740B" w:rsidRPr="003B2AB8">
        <w:t>measures</w:t>
      </w:r>
      <w:r w:rsidRPr="003B2AB8">
        <w:t xml:space="preserve"> the Texas Essential Knowledge and Skills (TEKS) for each grade and content area. The knowledge and skills are categorized by </w:t>
      </w:r>
      <w:r w:rsidR="000A4A2D">
        <w:t>three</w:t>
      </w:r>
      <w:r w:rsidRPr="003B2AB8">
        <w:t xml:space="preserve"> or </w:t>
      </w:r>
      <w:r w:rsidR="000A4A2D">
        <w:t>four</w:t>
      </w:r>
      <w:r w:rsidRPr="003B2AB8">
        <w:t xml:space="preserve"> reporting categories, depending on the content area. These reporting categories are general and consistent across grade levels for a given subject. </w:t>
      </w:r>
      <w:r w:rsidR="00242996" w:rsidRPr="003B2AB8">
        <w:t xml:space="preserve">There are one or more grade-specific knowledge and skills </w:t>
      </w:r>
      <w:r w:rsidR="005C740B" w:rsidRPr="003B2AB8">
        <w:t xml:space="preserve">statements </w:t>
      </w:r>
      <w:r w:rsidR="00242996" w:rsidRPr="003B2AB8">
        <w:t xml:space="preserve">under </w:t>
      </w:r>
      <w:r w:rsidRPr="003B2AB8">
        <w:t>each reporting category. Each knowledge and skill</w:t>
      </w:r>
      <w:r w:rsidR="005C740B" w:rsidRPr="003B2AB8">
        <w:t xml:space="preserve"> statement</w:t>
      </w:r>
      <w:r w:rsidRPr="003B2AB8">
        <w:t xml:space="preserve"> includes one or more expectations. The expectations </w:t>
      </w:r>
      <w:r w:rsidR="00300FCD" w:rsidRPr="003B2AB8">
        <w:t xml:space="preserve">are </w:t>
      </w:r>
      <w:r w:rsidRPr="003B2AB8">
        <w:t>the most detailed level and describe the specific skills or knowledge student</w:t>
      </w:r>
      <w:r w:rsidR="00C03930" w:rsidRPr="003B2AB8">
        <w:t xml:space="preserve">s are expected to have mastered. Test items are written </w:t>
      </w:r>
      <w:r w:rsidR="00300FCD" w:rsidRPr="003B2AB8">
        <w:t xml:space="preserve">at </w:t>
      </w:r>
      <w:r w:rsidR="00C03930" w:rsidRPr="003B2AB8">
        <w:t>the expectation level</w:t>
      </w:r>
      <w:r w:rsidRPr="003B2AB8">
        <w:t xml:space="preserve">. Each expectation is defined as either a readiness or supporting standard. Texas defines readiness standards </w:t>
      </w:r>
      <w:r w:rsidR="00DB6D8D">
        <w:t>those</w:t>
      </w:r>
      <w:r w:rsidRPr="003B2AB8">
        <w:t xml:space="preserve"> most pertinent for success in the current </w:t>
      </w:r>
      <w:r w:rsidR="00300FCD" w:rsidRPr="003B2AB8">
        <w:t>grade</w:t>
      </w:r>
      <w:r w:rsidRPr="003B2AB8">
        <w:t xml:space="preserve">, and important for future course preparation. Supporting standards are those introduced in a previous </w:t>
      </w:r>
      <w:r w:rsidR="00300FCD" w:rsidRPr="003B2AB8">
        <w:t xml:space="preserve">grade </w:t>
      </w:r>
      <w:r w:rsidRPr="003B2AB8">
        <w:t xml:space="preserve">or emphasized more fully in a later </w:t>
      </w:r>
      <w:r w:rsidR="00300FCD" w:rsidRPr="003B2AB8">
        <w:t>grade</w:t>
      </w:r>
      <w:r w:rsidRPr="003B2AB8">
        <w:t xml:space="preserve">, but still important for the current </w:t>
      </w:r>
      <w:r w:rsidR="00300FCD" w:rsidRPr="003B2AB8">
        <w:t>grade</w:t>
      </w:r>
      <w:r w:rsidRPr="003B2AB8">
        <w:t>.</w:t>
      </w:r>
    </w:p>
    <w:p w14:paraId="2D02EE11" w14:textId="77777777" w:rsidR="00C03930" w:rsidRPr="003B2AB8" w:rsidRDefault="00C03930" w:rsidP="00820C57">
      <w:pPr>
        <w:pStyle w:val="HBodyText"/>
      </w:pPr>
    </w:p>
    <w:p w14:paraId="48096273" w14:textId="3EE62BC4" w:rsidR="00C03930" w:rsidRPr="003B2AB8" w:rsidRDefault="00820C57" w:rsidP="00820C57">
      <w:pPr>
        <w:pStyle w:val="HBodyText"/>
      </w:pPr>
      <w:r w:rsidRPr="003B2AB8">
        <w:t xml:space="preserve">The assessment blueprints provide a layout for each test form. </w:t>
      </w:r>
      <w:r w:rsidR="00E2363C" w:rsidRPr="003B2AB8">
        <w:t>For each grade/subject, the blueprint</w:t>
      </w:r>
      <w:r w:rsidRPr="003B2AB8">
        <w:t xml:space="preserve"> describe the number of items that should be included for each reporting category, standard type (readiness or supporting), and item type, when applicable. The blueprints also link back to the standards documents by indicating the number of standards written to each reporting category and </w:t>
      </w:r>
      <w:r w:rsidR="00E2363C" w:rsidRPr="003B2AB8">
        <w:t xml:space="preserve">for the </w:t>
      </w:r>
      <w:r w:rsidRPr="003B2AB8">
        <w:t>overall</w:t>
      </w:r>
      <w:r w:rsidR="00E2363C" w:rsidRPr="003B2AB8">
        <w:t xml:space="preserve"> assessment</w:t>
      </w:r>
      <w:r w:rsidR="00391CA8" w:rsidRPr="003B2AB8">
        <w:t>.</w:t>
      </w:r>
      <w:r w:rsidRPr="003B2AB8">
        <w:t xml:space="preserve"> </w:t>
      </w:r>
    </w:p>
    <w:p w14:paraId="7867CF7B" w14:textId="77777777" w:rsidR="00E2363C" w:rsidRPr="003B2AB8" w:rsidRDefault="00E2363C" w:rsidP="00820C57">
      <w:pPr>
        <w:pStyle w:val="HBodyText"/>
      </w:pPr>
    </w:p>
    <w:p w14:paraId="2B12AEA5" w14:textId="3681FD87" w:rsidR="00820C57" w:rsidRPr="003B2AB8" w:rsidRDefault="00820C57" w:rsidP="00820C57">
      <w:pPr>
        <w:pStyle w:val="HBodyText"/>
      </w:pPr>
      <w:r w:rsidRPr="003B2AB8">
        <w:t xml:space="preserve">Each assessment form includes between 19 </w:t>
      </w:r>
      <w:r w:rsidR="00AE0170" w:rsidRPr="003B2AB8">
        <w:t>and</w:t>
      </w:r>
      <w:r w:rsidR="00D9190B" w:rsidRPr="003B2AB8">
        <w:t xml:space="preserve"> </w:t>
      </w:r>
      <w:r w:rsidRPr="003B2AB8">
        <w:t xml:space="preserve">56 items, depending on the grade and content area. The forms mostly </w:t>
      </w:r>
      <w:r w:rsidR="00B33BAB" w:rsidRPr="003B2AB8">
        <w:t>include</w:t>
      </w:r>
      <w:r w:rsidRPr="003B2AB8">
        <w:t xml:space="preserve"> multiple choice items, with a few gridd</w:t>
      </w:r>
      <w:r w:rsidR="00C03930" w:rsidRPr="003B2AB8">
        <w:t>ed</w:t>
      </w:r>
      <w:r w:rsidRPr="003B2AB8">
        <w:t xml:space="preserve"> items for </w:t>
      </w:r>
      <w:r w:rsidR="00391CA8" w:rsidRPr="003B2AB8">
        <w:t>mathematics</w:t>
      </w:r>
      <w:r w:rsidRPr="003B2AB8">
        <w:t>, and one composition</w:t>
      </w:r>
      <w:r w:rsidR="00C03930" w:rsidRPr="003B2AB8">
        <w:t xml:space="preserve"> item</w:t>
      </w:r>
      <w:r w:rsidRPr="003B2AB8">
        <w:t xml:space="preserve"> for </w:t>
      </w:r>
      <w:r w:rsidR="00391CA8" w:rsidRPr="003B2AB8">
        <w:t>writing</w:t>
      </w:r>
      <w:r w:rsidRPr="003B2AB8">
        <w:t xml:space="preserve">. The </w:t>
      </w:r>
      <w:r w:rsidR="00391CA8" w:rsidRPr="003B2AB8">
        <w:t xml:space="preserve">reading </w:t>
      </w:r>
      <w:r w:rsidRPr="003B2AB8">
        <w:t>assessment includes only multiple-choice</w:t>
      </w:r>
      <w:r w:rsidR="00B33BAB" w:rsidRPr="003B2AB8">
        <w:t xml:space="preserve"> items</w:t>
      </w:r>
      <w:r w:rsidRPr="003B2AB8">
        <w:t xml:space="preserve">. Each item was written to a specific TEKS expectation. The forms follow the blueprint for distribution of items across reporting category, standards type, and item type. </w:t>
      </w:r>
    </w:p>
    <w:p w14:paraId="06C2B3C1" w14:textId="77777777" w:rsidR="00820C57" w:rsidRPr="003B2AB8" w:rsidRDefault="00820C57" w:rsidP="00820C57">
      <w:pPr>
        <w:pStyle w:val="HBodyText"/>
      </w:pPr>
    </w:p>
    <w:p w14:paraId="7676B559" w14:textId="77777777" w:rsidR="00820C57" w:rsidRPr="003B2AB8" w:rsidRDefault="00820C57" w:rsidP="00DF2682">
      <w:pPr>
        <w:pStyle w:val="HLevel2"/>
        <w:rPr>
          <w:noProof w:val="0"/>
        </w:rPr>
      </w:pPr>
      <w:bookmarkStart w:id="11" w:name="_Toc446343614"/>
      <w:r w:rsidRPr="003B2AB8">
        <w:rPr>
          <w:noProof w:val="0"/>
        </w:rPr>
        <w:t>Method</w:t>
      </w:r>
      <w:bookmarkEnd w:id="11"/>
    </w:p>
    <w:p w14:paraId="4318070D" w14:textId="30F41A73" w:rsidR="00820C57" w:rsidRPr="003B2AB8" w:rsidRDefault="00820C57" w:rsidP="00820C57">
      <w:r w:rsidRPr="003B2AB8">
        <w:t xml:space="preserve">HumRRO </w:t>
      </w:r>
      <w:r w:rsidR="000A4A2D">
        <w:t>reviewed</w:t>
      </w:r>
      <w:r w:rsidR="000A4A2D" w:rsidRPr="003B2AB8">
        <w:t xml:space="preserve"> </w:t>
      </w:r>
      <w:r w:rsidRPr="003B2AB8">
        <w:t xml:space="preserve">two key pieces of evidence to examine how well the </w:t>
      </w:r>
      <w:r w:rsidR="00C03930" w:rsidRPr="003B2AB8">
        <w:t xml:space="preserve">2016 </w:t>
      </w:r>
      <w:r w:rsidRPr="003B2AB8">
        <w:t xml:space="preserve">STAAR forms aligned to the content intended by the TEA. First, HumRRO determined how well the item distribution matched that specified in the assessment blueprints. Second, an alignment review was conducted to determine the extent to which each item was aligned to the intended TEKS </w:t>
      </w:r>
      <w:r w:rsidR="00086FD4" w:rsidRPr="003B2AB8">
        <w:t xml:space="preserve">student </w:t>
      </w:r>
      <w:r w:rsidRPr="003B2AB8">
        <w:t xml:space="preserve">expectation. </w:t>
      </w:r>
    </w:p>
    <w:p w14:paraId="0BD350F9" w14:textId="77777777" w:rsidR="00C03930" w:rsidRPr="003B2AB8" w:rsidRDefault="00C03930" w:rsidP="00820C57"/>
    <w:p w14:paraId="44D60C5D" w14:textId="77777777" w:rsidR="00820C57" w:rsidRPr="003B2AB8" w:rsidRDefault="00820C57" w:rsidP="00820C57">
      <w:r w:rsidRPr="003B2AB8">
        <w:t>To determine how well the test forms represented the test blueprint</w:t>
      </w:r>
      <w:r w:rsidR="00086FD4" w:rsidRPr="003B2AB8">
        <w:t>,</w:t>
      </w:r>
      <w:r w:rsidRPr="003B2AB8">
        <w:t xml:space="preserve"> the number of items falling within each reporting category, standard type, and item type (as indicated by the TEKS code) were calculated. These numbers were compared to the number indicated by the assessment blueprints.</w:t>
      </w:r>
    </w:p>
    <w:p w14:paraId="62A5368E" w14:textId="77777777" w:rsidR="00C03930" w:rsidRPr="003B2AB8" w:rsidRDefault="00C03930" w:rsidP="00820C57"/>
    <w:p w14:paraId="772ADF91" w14:textId="7769BCD2" w:rsidR="00C03930" w:rsidRPr="003B2AB8" w:rsidRDefault="00820C57" w:rsidP="00820C57">
      <w:r w:rsidRPr="003B2AB8">
        <w:t xml:space="preserve">To conduct the alignment review each test </w:t>
      </w:r>
      <w:r w:rsidR="00B33BAB" w:rsidRPr="003B2AB8">
        <w:t xml:space="preserve">item </w:t>
      </w:r>
      <w:r w:rsidRPr="003B2AB8">
        <w:t>was rated by four HumRRO raters. Each group included those who had previous experience conducting alignment or item reviews and/or those with relevant content knowledge. All raters attended web-based training prior to conducting ratings. The training provided an overview of the STAAR program, background information about the TEA standards, and instructions for completing the review. Raters reviewed each item and the standard assigned to it. They assigned each item a rating of “fully aligned</w:t>
      </w:r>
      <w:r w:rsidR="002E2227">
        <w:t>,</w:t>
      </w:r>
      <w:r w:rsidRPr="003B2AB8">
        <w:t>” “partially aligned</w:t>
      </w:r>
      <w:r w:rsidR="002E2227">
        <w:t>,</w:t>
      </w:r>
      <w:r w:rsidRPr="003B2AB8">
        <w:t xml:space="preserve">” or “not aligned” to the intended </w:t>
      </w:r>
      <w:r w:rsidR="00086FD4" w:rsidRPr="003B2AB8">
        <w:t>s</w:t>
      </w:r>
      <w:r w:rsidRPr="003B2AB8">
        <w:t xml:space="preserve">tandard. Ratings were made at the </w:t>
      </w:r>
      <w:r w:rsidR="00E2363C" w:rsidRPr="003B2AB8">
        <w:t>e</w:t>
      </w:r>
      <w:r w:rsidRPr="003B2AB8">
        <w:t>xpectation level.</w:t>
      </w:r>
    </w:p>
    <w:p w14:paraId="42CFB2CA" w14:textId="77777777" w:rsidR="00820C57" w:rsidRPr="003B2AB8" w:rsidRDefault="00820C57" w:rsidP="00FD3F81">
      <w:pPr>
        <w:pStyle w:val="HBullets"/>
        <w:rPr>
          <w:lang w:val="en-US"/>
        </w:rPr>
      </w:pPr>
      <w:r w:rsidRPr="003B2AB8">
        <w:rPr>
          <w:lang w:val="en-US"/>
        </w:rPr>
        <w:t xml:space="preserve">A rating of “fully aligned” required </w:t>
      </w:r>
      <w:r w:rsidR="0016309E" w:rsidRPr="003B2AB8">
        <w:rPr>
          <w:lang w:val="en-US"/>
        </w:rPr>
        <w:t>that</w:t>
      </w:r>
      <w:r w:rsidRPr="003B2AB8">
        <w:rPr>
          <w:lang w:val="en-US"/>
        </w:rPr>
        <w:t xml:space="preserve"> the item fully fit within the expectation.</w:t>
      </w:r>
    </w:p>
    <w:p w14:paraId="350AC5A0" w14:textId="77777777" w:rsidR="00820C57" w:rsidRPr="003B2AB8" w:rsidRDefault="00820C57" w:rsidP="00FD3F81">
      <w:pPr>
        <w:pStyle w:val="HBullets"/>
        <w:rPr>
          <w:lang w:val="en-US"/>
        </w:rPr>
      </w:pPr>
      <w:r w:rsidRPr="003B2AB8">
        <w:rPr>
          <w:lang w:val="en-US"/>
        </w:rPr>
        <w:t>A rating of “partially aligned” was given if some of the item content fell within the expectation, but some of the content fell outside.</w:t>
      </w:r>
    </w:p>
    <w:p w14:paraId="794C6795" w14:textId="77777777" w:rsidR="00820C57" w:rsidRPr="003B2AB8" w:rsidRDefault="00820C57" w:rsidP="00FD3F81">
      <w:pPr>
        <w:pStyle w:val="HBullets"/>
        <w:rPr>
          <w:lang w:val="en-US"/>
        </w:rPr>
      </w:pPr>
      <w:r w:rsidRPr="003B2AB8">
        <w:rPr>
          <w:lang w:val="en-US"/>
        </w:rPr>
        <w:t>A rating of “not aligned” was assigned if the item content fell outside the content included in the expectation.</w:t>
      </w:r>
    </w:p>
    <w:p w14:paraId="032EC4E1" w14:textId="77777777" w:rsidR="00C03930" w:rsidRPr="003B2AB8" w:rsidRDefault="00C03930" w:rsidP="00065D66">
      <w:pPr>
        <w:spacing w:line="276" w:lineRule="auto"/>
        <w:contextualSpacing/>
      </w:pPr>
    </w:p>
    <w:p w14:paraId="3443A80E" w14:textId="5E74D11D" w:rsidR="00820C57" w:rsidRPr="003B2AB8" w:rsidRDefault="00820C57" w:rsidP="00C03930">
      <w:pPr>
        <w:contextualSpacing/>
      </w:pPr>
      <w:r w:rsidRPr="003B2AB8">
        <w:t xml:space="preserve">In addition to these ratings, if a rater provided a rating of “partially aligned” or “not aligned” </w:t>
      </w:r>
      <w:r w:rsidR="00086FD4" w:rsidRPr="003B2AB8">
        <w:t xml:space="preserve">he or she was </w:t>
      </w:r>
      <w:r w:rsidRPr="003B2AB8">
        <w:t>asked to provide information about what content of the item was not covered by the aligned expectation and, if appropriate, to provide an alternate expectation to which the item better align</w:t>
      </w:r>
      <w:r w:rsidR="00B33BAB" w:rsidRPr="003B2AB8">
        <w:t>ed</w:t>
      </w:r>
      <w:r w:rsidRPr="003B2AB8">
        <w:t>.</w:t>
      </w:r>
    </w:p>
    <w:p w14:paraId="22930365" w14:textId="77777777" w:rsidR="00C03930" w:rsidRPr="003B2AB8" w:rsidRDefault="00C03930" w:rsidP="00C03930">
      <w:pPr>
        <w:contextualSpacing/>
      </w:pPr>
    </w:p>
    <w:p w14:paraId="7CF61028" w14:textId="42872645" w:rsidR="00820C57" w:rsidRPr="003B2AB8" w:rsidRDefault="00820C57" w:rsidP="00FD3F81">
      <w:r w:rsidRPr="003B2AB8">
        <w:t>During training raters were given the opportunity to practice assigning ratings for a selection of items. At this time</w:t>
      </w:r>
      <w:r w:rsidR="00EB2DE7" w:rsidRPr="003B2AB8">
        <w:t>,</w:t>
      </w:r>
      <w:r w:rsidRPr="003B2AB8">
        <w:t xml:space="preserve"> the HumRRO content review </w:t>
      </w:r>
      <w:r w:rsidR="00EB2DE7" w:rsidRPr="003B2AB8">
        <w:t xml:space="preserve">task </w:t>
      </w:r>
      <w:r w:rsidRPr="003B2AB8">
        <w:t>lead ensured all raters properly understood how to use the rating forms</w:t>
      </w:r>
      <w:r w:rsidR="00086FD4" w:rsidRPr="003B2AB8">
        <w:t xml:space="preserve"> and</w:t>
      </w:r>
      <w:r w:rsidRPr="003B2AB8">
        <w:t xml:space="preserve"> standards documentation, and </w:t>
      </w:r>
      <w:r w:rsidR="00086FD4" w:rsidRPr="003B2AB8">
        <w:t xml:space="preserve">how to </w:t>
      </w:r>
      <w:r w:rsidRPr="003B2AB8">
        <w:t xml:space="preserve">apply ratings. </w:t>
      </w:r>
      <w:r w:rsidR="00EB2DE7" w:rsidRPr="003B2AB8">
        <w:t>Once completed</w:t>
      </w:r>
      <w:r w:rsidRPr="003B2AB8">
        <w:t xml:space="preserve">, ratings were reviewed to ensure the raters were interpreting the process </w:t>
      </w:r>
      <w:r w:rsidR="00B33BAB" w:rsidRPr="003B2AB8">
        <w:t xml:space="preserve">consistently and </w:t>
      </w:r>
      <w:r w:rsidRPr="003B2AB8">
        <w:t xml:space="preserve">appropriately. If there were specific questions about a rating, the content review </w:t>
      </w:r>
      <w:r w:rsidR="00EB2DE7" w:rsidRPr="003B2AB8">
        <w:t>task</w:t>
      </w:r>
      <w:r w:rsidRPr="003B2AB8">
        <w:t xml:space="preserve"> lead </w:t>
      </w:r>
      <w:r w:rsidR="00B33BAB" w:rsidRPr="003B2AB8">
        <w:t>discussed the issue with the rater to determine the most appropriate course of action</w:t>
      </w:r>
      <w:r w:rsidRPr="003B2AB8">
        <w:t>. If</w:t>
      </w:r>
      <w:r w:rsidR="002F6F8E" w:rsidRPr="003B2AB8">
        <w:t xml:space="preserve"> </w:t>
      </w:r>
      <w:r w:rsidR="00B33BAB" w:rsidRPr="003B2AB8">
        <w:t xml:space="preserve">raters’ </w:t>
      </w:r>
      <w:r w:rsidRPr="003B2AB8">
        <w:t>interpretation</w:t>
      </w:r>
      <w:r w:rsidR="00B33BAB" w:rsidRPr="003B2AB8">
        <w:t>s</w:t>
      </w:r>
      <w:r w:rsidRPr="003B2AB8">
        <w:t xml:space="preserve"> w</w:t>
      </w:r>
      <w:r w:rsidR="00B33BAB" w:rsidRPr="003B2AB8">
        <w:t>ere</w:t>
      </w:r>
      <w:r w:rsidRPr="003B2AB8">
        <w:t xml:space="preserve"> inconsistent with </w:t>
      </w:r>
      <w:r w:rsidR="00B33BAB" w:rsidRPr="003B2AB8">
        <w:t xml:space="preserve">the </w:t>
      </w:r>
      <w:r w:rsidRPr="003B2AB8">
        <w:t>methodology, ratings were revised.</w:t>
      </w:r>
    </w:p>
    <w:p w14:paraId="06D6BFE7" w14:textId="77777777" w:rsidR="00C03930" w:rsidRPr="003B2AB8" w:rsidRDefault="00C03930" w:rsidP="00FD3F81"/>
    <w:p w14:paraId="778CADA6" w14:textId="77777777" w:rsidR="00C03930" w:rsidRPr="003B2AB8" w:rsidRDefault="00820C57" w:rsidP="00FD3F81">
      <w:r w:rsidRPr="003B2AB8">
        <w:t>To obtain the average percentage of items at each alignment level (full, partial, or not) the following steps were taken:</w:t>
      </w:r>
    </w:p>
    <w:p w14:paraId="6AEEA400" w14:textId="77777777" w:rsidR="00820C57" w:rsidRPr="003B2AB8" w:rsidRDefault="00820C57" w:rsidP="00B86B9C">
      <w:pPr>
        <w:pStyle w:val="ListParagraph"/>
        <w:numPr>
          <w:ilvl w:val="0"/>
          <w:numId w:val="29"/>
        </w:numPr>
        <w:tabs>
          <w:tab w:val="clear" w:pos="990"/>
        </w:tabs>
        <w:ind w:left="1080"/>
      </w:pPr>
      <w:r w:rsidRPr="003B2AB8">
        <w:t>Determine the percentage of items fully, partially, or not aligned to the intended TEKS expectation for each rater; and</w:t>
      </w:r>
    </w:p>
    <w:p w14:paraId="60168703" w14:textId="55D3EBA6" w:rsidR="00820C57" w:rsidRPr="003B2AB8" w:rsidRDefault="00D9190B" w:rsidP="00B86B9C">
      <w:pPr>
        <w:pStyle w:val="ListParagraph"/>
        <w:numPr>
          <w:ilvl w:val="0"/>
          <w:numId w:val="29"/>
        </w:numPr>
        <w:tabs>
          <w:tab w:val="clear" w:pos="990"/>
        </w:tabs>
        <w:ind w:left="1080"/>
      </w:pPr>
      <w:r w:rsidRPr="003B2AB8">
        <w:t>A</w:t>
      </w:r>
      <w:r w:rsidR="00820C57" w:rsidRPr="003B2AB8">
        <w:t xml:space="preserve">verage the percentages across raters. </w:t>
      </w:r>
    </w:p>
    <w:p w14:paraId="5B467766" w14:textId="77777777" w:rsidR="00C03930" w:rsidRPr="003B2AB8" w:rsidRDefault="00C03930" w:rsidP="00FD3F81"/>
    <w:p w14:paraId="395F60D1" w14:textId="7C84A4D7" w:rsidR="00820C57" w:rsidRPr="003B2AB8" w:rsidRDefault="002E2227" w:rsidP="00FD3F81">
      <w:r>
        <w:t>We conducted a</w:t>
      </w:r>
      <w:r w:rsidR="00820C57" w:rsidRPr="003B2AB8">
        <w:t>nalyses overall and by categories identified in the blueprints – reporting category, standard type (readiness or supporting), a</w:t>
      </w:r>
      <w:r w:rsidR="00C03930" w:rsidRPr="003B2AB8">
        <w:t xml:space="preserve">nd item type, when applicable. </w:t>
      </w:r>
      <w:r>
        <w:t>The r</w:t>
      </w:r>
      <w:r w:rsidR="00820C57" w:rsidRPr="003B2AB8">
        <w:t>esults tables summarize the content review information for each grade and content area.</w:t>
      </w:r>
    </w:p>
    <w:p w14:paraId="1B1206D2" w14:textId="77777777" w:rsidR="00820C57" w:rsidRPr="003B2AB8" w:rsidRDefault="00820C57" w:rsidP="007D0070"/>
    <w:p w14:paraId="1D9C786A" w14:textId="77777777" w:rsidR="00820C57" w:rsidRPr="003B2AB8" w:rsidRDefault="00820C57" w:rsidP="00DF2682">
      <w:pPr>
        <w:pStyle w:val="HLevel2"/>
        <w:rPr>
          <w:noProof w:val="0"/>
        </w:rPr>
      </w:pPr>
      <w:bookmarkStart w:id="12" w:name="_Toc446343615"/>
      <w:r w:rsidRPr="003B2AB8">
        <w:rPr>
          <w:noProof w:val="0"/>
        </w:rPr>
        <w:t>Results</w:t>
      </w:r>
      <w:bookmarkEnd w:id="12"/>
    </w:p>
    <w:p w14:paraId="16C430FC" w14:textId="77777777" w:rsidR="00820C57" w:rsidRPr="003B2AB8" w:rsidRDefault="00A25851" w:rsidP="00DF2682">
      <w:pPr>
        <w:pStyle w:val="HLevel3"/>
        <w:rPr>
          <w:noProof w:val="0"/>
        </w:rPr>
      </w:pPr>
      <w:bookmarkStart w:id="13" w:name="_Toc446343616"/>
      <w:r w:rsidRPr="003B2AB8">
        <w:rPr>
          <w:noProof w:val="0"/>
        </w:rPr>
        <w:t>Math</w:t>
      </w:r>
      <w:r w:rsidR="00086FD4" w:rsidRPr="003B2AB8">
        <w:rPr>
          <w:noProof w:val="0"/>
        </w:rPr>
        <w:t>ematics</w:t>
      </w:r>
      <w:bookmarkEnd w:id="13"/>
    </w:p>
    <w:p w14:paraId="7F97E90B" w14:textId="4C11F205" w:rsidR="00820C57" w:rsidRPr="003B2AB8" w:rsidRDefault="00820C57" w:rsidP="00820C57">
      <w:pPr>
        <w:rPr>
          <w:szCs w:val="22"/>
        </w:rPr>
      </w:pPr>
      <w:r w:rsidRPr="003B2AB8">
        <w:t xml:space="preserve">The Texas </w:t>
      </w:r>
      <w:r w:rsidR="00086FD4" w:rsidRPr="003B2AB8">
        <w:t>mathematics assessments</w:t>
      </w:r>
      <w:r w:rsidRPr="003B2AB8">
        <w:t xml:space="preserve"> incl</w:t>
      </w:r>
      <w:r w:rsidR="004946BF" w:rsidRPr="003B2AB8">
        <w:t>ude four reporting categories: (a</w:t>
      </w:r>
      <w:r w:rsidRPr="003B2AB8">
        <w:t>) Numerical Repr</w:t>
      </w:r>
      <w:r w:rsidR="004946BF" w:rsidRPr="003B2AB8">
        <w:t>esentations and Relationships, (b</w:t>
      </w:r>
      <w:r w:rsidRPr="003B2AB8">
        <w:t xml:space="preserve">) </w:t>
      </w:r>
      <w:r w:rsidRPr="003B2AB8">
        <w:rPr>
          <w:szCs w:val="22"/>
        </w:rPr>
        <w:t>Computations and Algebraic Relationships</w:t>
      </w:r>
      <w:r w:rsidR="004946BF" w:rsidRPr="003B2AB8">
        <w:rPr>
          <w:szCs w:val="22"/>
        </w:rPr>
        <w:t>, (c</w:t>
      </w:r>
      <w:r w:rsidRPr="003B2AB8">
        <w:rPr>
          <w:szCs w:val="22"/>
        </w:rPr>
        <w:t>) Geometry and Measurement</w:t>
      </w:r>
      <w:r w:rsidR="004946BF" w:rsidRPr="003B2AB8">
        <w:rPr>
          <w:szCs w:val="22"/>
        </w:rPr>
        <w:t>, and (d</w:t>
      </w:r>
      <w:r w:rsidRPr="003B2AB8">
        <w:rPr>
          <w:szCs w:val="22"/>
        </w:rPr>
        <w:t xml:space="preserve">) Data Analysis and Personal Finance Literacy. </w:t>
      </w:r>
      <w:r w:rsidR="00A25851" w:rsidRPr="003B2AB8">
        <w:rPr>
          <w:szCs w:val="22"/>
        </w:rPr>
        <w:t>Math</w:t>
      </w:r>
      <w:r w:rsidR="00086FD4" w:rsidRPr="003B2AB8">
        <w:rPr>
          <w:szCs w:val="22"/>
        </w:rPr>
        <w:t>ematics</w:t>
      </w:r>
      <w:r w:rsidRPr="003B2AB8">
        <w:rPr>
          <w:szCs w:val="22"/>
        </w:rPr>
        <w:t xml:space="preserve"> includes readiness and supporting standards, and the test forms include multiple choice and gridd</w:t>
      </w:r>
      <w:r w:rsidR="00EB2DE7" w:rsidRPr="003B2AB8">
        <w:rPr>
          <w:szCs w:val="22"/>
        </w:rPr>
        <w:t>ed</w:t>
      </w:r>
      <w:r w:rsidRPr="003B2AB8">
        <w:rPr>
          <w:szCs w:val="22"/>
        </w:rPr>
        <w:t xml:space="preserve"> items.</w:t>
      </w:r>
    </w:p>
    <w:p w14:paraId="01D43F5D" w14:textId="77777777" w:rsidR="00C03930" w:rsidRPr="003B2AB8" w:rsidRDefault="00C03930" w:rsidP="00820C57"/>
    <w:p w14:paraId="468F89B5" w14:textId="5F50AF9D" w:rsidR="00820C57" w:rsidRPr="003B2AB8" w:rsidRDefault="00820C57" w:rsidP="00820C57">
      <w:r w:rsidRPr="003B2AB8">
        <w:t xml:space="preserve">Table 1 presents the content review results for the </w:t>
      </w:r>
      <w:r w:rsidR="00A25851" w:rsidRPr="003B2AB8">
        <w:t xml:space="preserve">2016 </w:t>
      </w:r>
      <w:r w:rsidRPr="003B2AB8">
        <w:t xml:space="preserve">grade 5 </w:t>
      </w:r>
      <w:r w:rsidR="00086FD4" w:rsidRPr="003B2AB8">
        <w:t xml:space="preserve">mathematics </w:t>
      </w:r>
      <w:r w:rsidR="00EB2DE7" w:rsidRPr="003B2AB8">
        <w:t>STAAR</w:t>
      </w:r>
      <w:r w:rsidRPr="003B2AB8">
        <w:t xml:space="preserve"> test form. The number of items included on the test form matched the blueprint overall</w:t>
      </w:r>
      <w:r w:rsidR="00E2363C" w:rsidRPr="003B2AB8">
        <w:t>,</w:t>
      </w:r>
      <w:r w:rsidRPr="003B2AB8">
        <w:t xml:space="preserve"> </w:t>
      </w:r>
      <w:r w:rsidR="00E2363C" w:rsidRPr="003B2AB8">
        <w:t>as well as, disaggregated by reporting category, standard type, and item type.</w:t>
      </w:r>
    </w:p>
    <w:p w14:paraId="0BA2C412" w14:textId="77777777" w:rsidR="00C03930" w:rsidRPr="003B2AB8" w:rsidRDefault="00C03930" w:rsidP="00820C57"/>
    <w:p w14:paraId="7E488C73" w14:textId="0B568536" w:rsidR="00820C57" w:rsidRPr="003B2AB8" w:rsidRDefault="00820C57" w:rsidP="00820C57">
      <w:r w:rsidRPr="003B2AB8">
        <w:t xml:space="preserve">All grade 5 </w:t>
      </w:r>
      <w:r w:rsidR="00086FD4" w:rsidRPr="003B2AB8">
        <w:t xml:space="preserve">mathematics </w:t>
      </w:r>
      <w:r w:rsidRPr="003B2AB8">
        <w:t xml:space="preserve">items falling under reporting categories 1, 3, and 4 were rated as fully aligned to the intended TEKS expectation by all four raters. The average percentage of items </w:t>
      </w:r>
      <w:r w:rsidR="009F4576" w:rsidRPr="003B2AB8">
        <w:t xml:space="preserve">rated as fully </w:t>
      </w:r>
      <w:r w:rsidRPr="003B2AB8">
        <w:t xml:space="preserve">aligned for reporting category 2 was approximately </w:t>
      </w:r>
      <w:r w:rsidR="009F4576" w:rsidRPr="003B2AB8">
        <w:t>97</w:t>
      </w:r>
      <w:r w:rsidRPr="003B2AB8">
        <w:t>%</w:t>
      </w:r>
      <w:r w:rsidR="009F4576" w:rsidRPr="003B2AB8">
        <w:t>.</w:t>
      </w:r>
      <w:r w:rsidRPr="003B2AB8">
        <w:t xml:space="preserve"> </w:t>
      </w:r>
      <w:r w:rsidR="009F4576" w:rsidRPr="003B2AB8">
        <w:t>T</w:t>
      </w:r>
      <w:r w:rsidRPr="003B2AB8">
        <w:t>he majority of items were rated as fully aligned.</w:t>
      </w:r>
    </w:p>
    <w:p w14:paraId="40411489" w14:textId="77777777" w:rsidR="00820C57" w:rsidRPr="003B2AB8" w:rsidRDefault="00820C57" w:rsidP="00820C57"/>
    <w:p w14:paraId="1BBD8FE2" w14:textId="77777777" w:rsidR="00CD470F" w:rsidRPr="003B2AB8" w:rsidRDefault="00CD470F" w:rsidP="007D0070">
      <w:pPr>
        <w:pStyle w:val="HTable"/>
      </w:pPr>
      <w:r w:rsidRPr="003B2AB8">
        <w:br w:type="page"/>
      </w:r>
    </w:p>
    <w:p w14:paraId="524588D9" w14:textId="77777777" w:rsidR="00820C57" w:rsidRPr="003B2AB8" w:rsidRDefault="00820C57" w:rsidP="007D0070">
      <w:pPr>
        <w:pStyle w:val="HTable"/>
      </w:pPr>
      <w:bookmarkStart w:id="14" w:name="_Toc446071676"/>
      <w:r w:rsidRPr="003B2AB8">
        <w:t xml:space="preserve">Table 1. Grade 5 </w:t>
      </w:r>
      <w:r w:rsidR="00A25851" w:rsidRPr="003B2AB8">
        <w:t>Math</w:t>
      </w:r>
      <w:r w:rsidR="00086FD4" w:rsidRPr="003B2AB8">
        <w:t>ematics</w:t>
      </w:r>
      <w:r w:rsidRPr="003B2AB8">
        <w:t xml:space="preserve"> </w:t>
      </w:r>
      <w:r w:rsidR="00FD3F81" w:rsidRPr="003B2AB8">
        <w:t>C</w:t>
      </w:r>
      <w:r w:rsidRPr="003B2AB8">
        <w:t xml:space="preserve">ontent </w:t>
      </w:r>
      <w:r w:rsidR="00FD3F81" w:rsidRPr="003B2AB8">
        <w:t>A</w:t>
      </w:r>
      <w:r w:rsidRPr="003B2AB8">
        <w:t>lignment an</w:t>
      </w:r>
      <w:r w:rsidR="00FD3F81" w:rsidRPr="003B2AB8">
        <w:t>d Blueprint Consistency Results</w:t>
      </w:r>
      <w:bookmarkEnd w:id="14"/>
    </w:p>
    <w:tbl>
      <w:tblPr>
        <w:tblW w:w="0" w:type="auto"/>
        <w:tblInd w:w="93"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left w:w="115" w:type="dxa"/>
          <w:bottom w:w="14" w:type="dxa"/>
          <w:right w:w="115" w:type="dxa"/>
        </w:tblCellMar>
        <w:tblLook w:val="04A0" w:firstRow="1" w:lastRow="0" w:firstColumn="1" w:lastColumn="0" w:noHBand="0" w:noVBand="1"/>
      </w:tblPr>
      <w:tblGrid>
        <w:gridCol w:w="2061"/>
        <w:gridCol w:w="1265"/>
        <w:gridCol w:w="1222"/>
        <w:gridCol w:w="1642"/>
        <w:gridCol w:w="1752"/>
        <w:gridCol w:w="1555"/>
      </w:tblGrid>
      <w:tr w:rsidR="00C33220" w:rsidRPr="003B2AB8" w14:paraId="420E1A09" w14:textId="77777777" w:rsidTr="00C533F5">
        <w:tc>
          <w:tcPr>
            <w:tcW w:w="0" w:type="auto"/>
            <w:shd w:val="clear" w:color="000000" w:fill="00528B"/>
            <w:noWrap/>
            <w:vAlign w:val="bottom"/>
            <w:hideMark/>
          </w:tcPr>
          <w:p w14:paraId="509FCC11" w14:textId="77777777" w:rsidR="00820C57" w:rsidRPr="003B2AB8" w:rsidRDefault="00820C57" w:rsidP="000B2D23">
            <w:pPr>
              <w:spacing w:after="40"/>
              <w:rPr>
                <w:color w:val="FFFFFF" w:themeColor="background1"/>
                <w:sz w:val="20"/>
                <w:szCs w:val="20"/>
              </w:rPr>
            </w:pPr>
            <w:r w:rsidRPr="003B2AB8">
              <w:rPr>
                <w:color w:val="FFFFFF" w:themeColor="background1"/>
                <w:sz w:val="20"/>
                <w:szCs w:val="20"/>
              </w:rPr>
              <w:t>Category</w:t>
            </w:r>
          </w:p>
        </w:tc>
        <w:tc>
          <w:tcPr>
            <w:tcW w:w="0" w:type="auto"/>
            <w:shd w:val="clear" w:color="000000" w:fill="00528B"/>
            <w:vAlign w:val="bottom"/>
            <w:hideMark/>
          </w:tcPr>
          <w:p w14:paraId="1D647CD9" w14:textId="77777777" w:rsidR="00820C57" w:rsidRPr="003B2AB8" w:rsidRDefault="00820C57" w:rsidP="000B2D23">
            <w:pPr>
              <w:spacing w:after="40"/>
              <w:jc w:val="center"/>
              <w:rPr>
                <w:color w:val="FFFFFF" w:themeColor="background1"/>
                <w:sz w:val="20"/>
                <w:szCs w:val="20"/>
              </w:rPr>
            </w:pPr>
            <w:r w:rsidRPr="003B2AB8">
              <w:rPr>
                <w:color w:val="FFFFFF" w:themeColor="background1"/>
                <w:sz w:val="20"/>
                <w:szCs w:val="20"/>
              </w:rPr>
              <w:t>Blueprint # Questions</w:t>
            </w:r>
          </w:p>
        </w:tc>
        <w:tc>
          <w:tcPr>
            <w:tcW w:w="0" w:type="auto"/>
            <w:shd w:val="clear" w:color="000000" w:fill="00528B"/>
            <w:vAlign w:val="bottom"/>
            <w:hideMark/>
          </w:tcPr>
          <w:p w14:paraId="33164E0D" w14:textId="77777777" w:rsidR="00820C57" w:rsidRPr="003B2AB8" w:rsidRDefault="00820C57" w:rsidP="000B2D23">
            <w:pPr>
              <w:spacing w:after="40"/>
              <w:jc w:val="center"/>
              <w:rPr>
                <w:color w:val="FFFFFF" w:themeColor="background1"/>
                <w:sz w:val="20"/>
                <w:szCs w:val="20"/>
              </w:rPr>
            </w:pPr>
            <w:r w:rsidRPr="003B2AB8">
              <w:rPr>
                <w:color w:val="FFFFFF" w:themeColor="background1"/>
                <w:sz w:val="20"/>
                <w:szCs w:val="20"/>
              </w:rPr>
              <w:t>Form # Questions</w:t>
            </w:r>
          </w:p>
        </w:tc>
        <w:tc>
          <w:tcPr>
            <w:tcW w:w="0" w:type="auto"/>
            <w:shd w:val="clear" w:color="000000" w:fill="00528B"/>
            <w:vAlign w:val="bottom"/>
            <w:hideMark/>
          </w:tcPr>
          <w:p w14:paraId="79BD0B8E" w14:textId="77777777" w:rsidR="00820C57" w:rsidRPr="003B2AB8" w:rsidRDefault="00820C57" w:rsidP="000B2D23">
            <w:pPr>
              <w:spacing w:after="40"/>
              <w:jc w:val="center"/>
              <w:rPr>
                <w:color w:val="FFFFFF" w:themeColor="background1"/>
                <w:sz w:val="20"/>
                <w:szCs w:val="20"/>
              </w:rPr>
            </w:pPr>
            <w:r w:rsidRPr="003B2AB8">
              <w:rPr>
                <w:color w:val="FFFFFF" w:themeColor="background1"/>
                <w:sz w:val="20"/>
                <w:szCs w:val="20"/>
              </w:rPr>
              <w:t>Average Items Fully Aligned to Expectation</w:t>
            </w:r>
          </w:p>
        </w:tc>
        <w:tc>
          <w:tcPr>
            <w:tcW w:w="1752" w:type="dxa"/>
            <w:shd w:val="clear" w:color="000000" w:fill="00528B"/>
            <w:vAlign w:val="bottom"/>
            <w:hideMark/>
          </w:tcPr>
          <w:p w14:paraId="647147AF" w14:textId="77777777" w:rsidR="00820C57" w:rsidRPr="003B2AB8" w:rsidRDefault="00820C57" w:rsidP="000B2D23">
            <w:pPr>
              <w:spacing w:after="40"/>
              <w:jc w:val="center"/>
              <w:rPr>
                <w:color w:val="FFFFFF" w:themeColor="background1"/>
                <w:sz w:val="20"/>
                <w:szCs w:val="20"/>
              </w:rPr>
            </w:pPr>
            <w:r w:rsidRPr="003B2AB8">
              <w:rPr>
                <w:color w:val="FFFFFF" w:themeColor="background1"/>
                <w:sz w:val="20"/>
                <w:szCs w:val="20"/>
              </w:rPr>
              <w:t>Average Items Partially Aligned to Expectation</w:t>
            </w:r>
          </w:p>
        </w:tc>
        <w:tc>
          <w:tcPr>
            <w:tcW w:w="1555" w:type="dxa"/>
            <w:shd w:val="clear" w:color="000000" w:fill="00528B"/>
            <w:vAlign w:val="bottom"/>
            <w:hideMark/>
          </w:tcPr>
          <w:p w14:paraId="68D80393" w14:textId="77777777" w:rsidR="00820C57" w:rsidRPr="003B2AB8" w:rsidRDefault="00820C57" w:rsidP="000B2D23">
            <w:pPr>
              <w:spacing w:after="40"/>
              <w:jc w:val="center"/>
              <w:rPr>
                <w:color w:val="FFFFFF" w:themeColor="background1"/>
                <w:sz w:val="20"/>
                <w:szCs w:val="20"/>
              </w:rPr>
            </w:pPr>
            <w:r w:rsidRPr="003B2AB8">
              <w:rPr>
                <w:color w:val="FFFFFF" w:themeColor="background1"/>
                <w:sz w:val="20"/>
                <w:szCs w:val="20"/>
              </w:rPr>
              <w:t>Average Items Not Aligned to Expectation</w:t>
            </w:r>
          </w:p>
        </w:tc>
      </w:tr>
      <w:tr w:rsidR="00C33220" w:rsidRPr="003B2AB8" w14:paraId="3560C83E" w14:textId="77777777" w:rsidTr="00C533F5">
        <w:tc>
          <w:tcPr>
            <w:tcW w:w="0" w:type="auto"/>
            <w:gridSpan w:val="6"/>
            <w:shd w:val="clear" w:color="000000" w:fill="0080BA"/>
            <w:noWrap/>
            <w:vAlign w:val="center"/>
            <w:hideMark/>
          </w:tcPr>
          <w:p w14:paraId="320999DF" w14:textId="77777777" w:rsidR="00820C57" w:rsidRPr="003B2AB8" w:rsidRDefault="00820C57" w:rsidP="00C33220">
            <w:pPr>
              <w:jc w:val="center"/>
              <w:rPr>
                <w:color w:val="FFFFFF" w:themeColor="background1"/>
                <w:sz w:val="20"/>
                <w:szCs w:val="20"/>
              </w:rPr>
            </w:pPr>
            <w:r w:rsidRPr="003B2AB8">
              <w:rPr>
                <w:color w:val="FFFFFF" w:themeColor="background1"/>
                <w:sz w:val="20"/>
                <w:szCs w:val="20"/>
              </w:rPr>
              <w:t>Reporting Category</w:t>
            </w:r>
          </w:p>
        </w:tc>
      </w:tr>
      <w:tr w:rsidR="00820C57" w:rsidRPr="003B2AB8" w14:paraId="0DB8955D" w14:textId="77777777" w:rsidTr="00C533F5">
        <w:trPr>
          <w:trHeight w:val="727"/>
        </w:trPr>
        <w:tc>
          <w:tcPr>
            <w:tcW w:w="0" w:type="auto"/>
            <w:shd w:val="clear" w:color="000000" w:fill="BFBFBF"/>
            <w:vAlign w:val="center"/>
            <w:hideMark/>
          </w:tcPr>
          <w:p w14:paraId="5CEED042" w14:textId="77777777" w:rsidR="00820C57" w:rsidRPr="003B2AB8" w:rsidRDefault="00820C57" w:rsidP="004946BF">
            <w:pPr>
              <w:rPr>
                <w:sz w:val="20"/>
                <w:szCs w:val="20"/>
              </w:rPr>
            </w:pPr>
            <w:r w:rsidRPr="003B2AB8">
              <w:rPr>
                <w:sz w:val="20"/>
                <w:szCs w:val="20"/>
              </w:rPr>
              <w:t>1: Numerical Representations and Relationships</w:t>
            </w:r>
          </w:p>
        </w:tc>
        <w:tc>
          <w:tcPr>
            <w:tcW w:w="0" w:type="auto"/>
            <w:shd w:val="clear" w:color="000000" w:fill="FFFFFF"/>
            <w:noWrap/>
            <w:vAlign w:val="center"/>
            <w:hideMark/>
          </w:tcPr>
          <w:p w14:paraId="50B856BB" w14:textId="77777777" w:rsidR="00820C57" w:rsidRPr="003B2AB8" w:rsidRDefault="00820C57" w:rsidP="004946BF">
            <w:pPr>
              <w:jc w:val="center"/>
              <w:rPr>
                <w:sz w:val="20"/>
                <w:szCs w:val="20"/>
              </w:rPr>
            </w:pPr>
            <w:r w:rsidRPr="003B2AB8">
              <w:rPr>
                <w:sz w:val="20"/>
                <w:szCs w:val="20"/>
              </w:rPr>
              <w:t>8</w:t>
            </w:r>
          </w:p>
        </w:tc>
        <w:tc>
          <w:tcPr>
            <w:tcW w:w="0" w:type="auto"/>
            <w:shd w:val="clear" w:color="000000" w:fill="FFFFFF"/>
            <w:noWrap/>
            <w:vAlign w:val="center"/>
            <w:hideMark/>
          </w:tcPr>
          <w:p w14:paraId="4AE42D35" w14:textId="77777777" w:rsidR="00820C57" w:rsidRPr="003B2AB8" w:rsidRDefault="00820C57" w:rsidP="004946BF">
            <w:pPr>
              <w:jc w:val="center"/>
              <w:rPr>
                <w:sz w:val="20"/>
                <w:szCs w:val="20"/>
              </w:rPr>
            </w:pPr>
            <w:r w:rsidRPr="003B2AB8">
              <w:rPr>
                <w:sz w:val="20"/>
                <w:szCs w:val="20"/>
              </w:rPr>
              <w:t>8</w:t>
            </w:r>
          </w:p>
        </w:tc>
        <w:tc>
          <w:tcPr>
            <w:tcW w:w="0" w:type="auto"/>
            <w:shd w:val="clear" w:color="000000" w:fill="FFFFFF"/>
            <w:noWrap/>
            <w:vAlign w:val="center"/>
            <w:hideMark/>
          </w:tcPr>
          <w:p w14:paraId="2EA72BF6" w14:textId="77777777" w:rsidR="00820C57" w:rsidRPr="003B2AB8" w:rsidRDefault="00820C57" w:rsidP="004946BF">
            <w:pPr>
              <w:jc w:val="center"/>
              <w:rPr>
                <w:sz w:val="20"/>
                <w:szCs w:val="20"/>
              </w:rPr>
            </w:pPr>
            <w:r w:rsidRPr="003B2AB8">
              <w:rPr>
                <w:sz w:val="20"/>
                <w:szCs w:val="20"/>
              </w:rPr>
              <w:t>100.0%</w:t>
            </w:r>
          </w:p>
        </w:tc>
        <w:tc>
          <w:tcPr>
            <w:tcW w:w="1752" w:type="dxa"/>
            <w:shd w:val="clear" w:color="000000" w:fill="FFFFFF"/>
            <w:noWrap/>
            <w:vAlign w:val="center"/>
            <w:hideMark/>
          </w:tcPr>
          <w:p w14:paraId="5E4E50CF" w14:textId="77777777" w:rsidR="00820C57" w:rsidRPr="003B2AB8" w:rsidRDefault="00820C57" w:rsidP="004946BF">
            <w:pPr>
              <w:jc w:val="center"/>
              <w:rPr>
                <w:sz w:val="20"/>
                <w:szCs w:val="20"/>
              </w:rPr>
            </w:pPr>
            <w:r w:rsidRPr="003B2AB8">
              <w:rPr>
                <w:sz w:val="20"/>
                <w:szCs w:val="20"/>
              </w:rPr>
              <w:t>0.0%</w:t>
            </w:r>
          </w:p>
        </w:tc>
        <w:tc>
          <w:tcPr>
            <w:tcW w:w="1555" w:type="dxa"/>
            <w:shd w:val="clear" w:color="000000" w:fill="FFFFFF"/>
            <w:noWrap/>
            <w:vAlign w:val="center"/>
            <w:hideMark/>
          </w:tcPr>
          <w:p w14:paraId="7D7F0A3C" w14:textId="77777777" w:rsidR="00820C57" w:rsidRPr="003B2AB8" w:rsidRDefault="00820C57" w:rsidP="004946BF">
            <w:pPr>
              <w:jc w:val="center"/>
              <w:rPr>
                <w:sz w:val="20"/>
                <w:szCs w:val="20"/>
              </w:rPr>
            </w:pPr>
            <w:r w:rsidRPr="003B2AB8">
              <w:rPr>
                <w:sz w:val="20"/>
                <w:szCs w:val="20"/>
              </w:rPr>
              <w:t>0.0%</w:t>
            </w:r>
          </w:p>
        </w:tc>
      </w:tr>
      <w:tr w:rsidR="00820C57" w:rsidRPr="003B2AB8" w14:paraId="4BDB025A" w14:textId="77777777" w:rsidTr="00C533F5">
        <w:trPr>
          <w:trHeight w:val="570"/>
        </w:trPr>
        <w:tc>
          <w:tcPr>
            <w:tcW w:w="0" w:type="auto"/>
            <w:shd w:val="clear" w:color="000000" w:fill="BFBFBF"/>
            <w:vAlign w:val="center"/>
            <w:hideMark/>
          </w:tcPr>
          <w:p w14:paraId="7D46C41C" w14:textId="77777777" w:rsidR="00820C57" w:rsidRPr="003B2AB8" w:rsidRDefault="00820C57" w:rsidP="004946BF">
            <w:pPr>
              <w:rPr>
                <w:sz w:val="20"/>
                <w:szCs w:val="20"/>
              </w:rPr>
            </w:pPr>
            <w:r w:rsidRPr="003B2AB8">
              <w:rPr>
                <w:sz w:val="20"/>
                <w:szCs w:val="20"/>
              </w:rPr>
              <w:t>2: Computations and Algebraic Relationships</w:t>
            </w:r>
          </w:p>
        </w:tc>
        <w:tc>
          <w:tcPr>
            <w:tcW w:w="0" w:type="auto"/>
            <w:shd w:val="clear" w:color="000000" w:fill="FFFFFF"/>
            <w:noWrap/>
            <w:vAlign w:val="center"/>
            <w:hideMark/>
          </w:tcPr>
          <w:p w14:paraId="1EDE5046" w14:textId="77777777" w:rsidR="00820C57" w:rsidRPr="003B2AB8" w:rsidRDefault="00820C57" w:rsidP="004946BF">
            <w:pPr>
              <w:jc w:val="center"/>
              <w:rPr>
                <w:sz w:val="20"/>
                <w:szCs w:val="20"/>
              </w:rPr>
            </w:pPr>
            <w:r w:rsidRPr="003B2AB8">
              <w:rPr>
                <w:sz w:val="20"/>
                <w:szCs w:val="20"/>
              </w:rPr>
              <w:t>24</w:t>
            </w:r>
          </w:p>
        </w:tc>
        <w:tc>
          <w:tcPr>
            <w:tcW w:w="0" w:type="auto"/>
            <w:shd w:val="clear" w:color="000000" w:fill="FFFFFF"/>
            <w:noWrap/>
            <w:vAlign w:val="center"/>
            <w:hideMark/>
          </w:tcPr>
          <w:p w14:paraId="51BA48B2" w14:textId="77777777" w:rsidR="00820C57" w:rsidRPr="003B2AB8" w:rsidRDefault="00820C57" w:rsidP="004946BF">
            <w:pPr>
              <w:jc w:val="center"/>
              <w:rPr>
                <w:sz w:val="20"/>
                <w:szCs w:val="20"/>
              </w:rPr>
            </w:pPr>
            <w:r w:rsidRPr="003B2AB8">
              <w:rPr>
                <w:sz w:val="20"/>
                <w:szCs w:val="20"/>
              </w:rPr>
              <w:t>24</w:t>
            </w:r>
          </w:p>
        </w:tc>
        <w:tc>
          <w:tcPr>
            <w:tcW w:w="0" w:type="auto"/>
            <w:shd w:val="clear" w:color="000000" w:fill="FFFFFF"/>
            <w:noWrap/>
            <w:vAlign w:val="center"/>
            <w:hideMark/>
          </w:tcPr>
          <w:p w14:paraId="7283C880" w14:textId="77777777" w:rsidR="00820C57" w:rsidRPr="003B2AB8" w:rsidRDefault="00820C57" w:rsidP="004946BF">
            <w:pPr>
              <w:jc w:val="center"/>
              <w:rPr>
                <w:sz w:val="20"/>
                <w:szCs w:val="20"/>
              </w:rPr>
            </w:pPr>
            <w:r w:rsidRPr="003B2AB8">
              <w:rPr>
                <w:sz w:val="20"/>
                <w:szCs w:val="20"/>
              </w:rPr>
              <w:t>96.9%</w:t>
            </w:r>
          </w:p>
        </w:tc>
        <w:tc>
          <w:tcPr>
            <w:tcW w:w="1752" w:type="dxa"/>
            <w:shd w:val="clear" w:color="000000" w:fill="FFFFFF"/>
            <w:noWrap/>
            <w:vAlign w:val="center"/>
            <w:hideMark/>
          </w:tcPr>
          <w:p w14:paraId="44AFCFA9" w14:textId="77777777" w:rsidR="00820C57" w:rsidRPr="003B2AB8" w:rsidRDefault="00820C57" w:rsidP="004946BF">
            <w:pPr>
              <w:jc w:val="center"/>
              <w:rPr>
                <w:sz w:val="20"/>
                <w:szCs w:val="20"/>
              </w:rPr>
            </w:pPr>
            <w:r w:rsidRPr="003B2AB8">
              <w:rPr>
                <w:sz w:val="20"/>
                <w:szCs w:val="20"/>
              </w:rPr>
              <w:t>3.1%</w:t>
            </w:r>
          </w:p>
        </w:tc>
        <w:tc>
          <w:tcPr>
            <w:tcW w:w="1555" w:type="dxa"/>
            <w:shd w:val="clear" w:color="000000" w:fill="FFFFFF"/>
            <w:noWrap/>
            <w:vAlign w:val="center"/>
            <w:hideMark/>
          </w:tcPr>
          <w:p w14:paraId="27BE554C" w14:textId="77777777" w:rsidR="00820C57" w:rsidRPr="003B2AB8" w:rsidRDefault="00820C57" w:rsidP="004946BF">
            <w:pPr>
              <w:jc w:val="center"/>
              <w:rPr>
                <w:sz w:val="20"/>
                <w:szCs w:val="20"/>
              </w:rPr>
            </w:pPr>
            <w:r w:rsidRPr="003B2AB8">
              <w:rPr>
                <w:sz w:val="20"/>
                <w:szCs w:val="20"/>
              </w:rPr>
              <w:t>0.0%</w:t>
            </w:r>
          </w:p>
        </w:tc>
      </w:tr>
      <w:tr w:rsidR="00820C57" w:rsidRPr="003B2AB8" w14:paraId="61D8DBAD" w14:textId="77777777" w:rsidTr="00C533F5">
        <w:trPr>
          <w:trHeight w:val="570"/>
        </w:trPr>
        <w:tc>
          <w:tcPr>
            <w:tcW w:w="0" w:type="auto"/>
            <w:shd w:val="clear" w:color="000000" w:fill="BFBFBF"/>
            <w:vAlign w:val="center"/>
            <w:hideMark/>
          </w:tcPr>
          <w:p w14:paraId="2BF603F3" w14:textId="77777777" w:rsidR="00820C57" w:rsidRPr="003B2AB8" w:rsidRDefault="00820C57" w:rsidP="004946BF">
            <w:pPr>
              <w:rPr>
                <w:sz w:val="20"/>
                <w:szCs w:val="20"/>
              </w:rPr>
            </w:pPr>
            <w:r w:rsidRPr="003B2AB8">
              <w:rPr>
                <w:sz w:val="20"/>
                <w:szCs w:val="20"/>
              </w:rPr>
              <w:t>3: Geometry and Measurement</w:t>
            </w:r>
          </w:p>
        </w:tc>
        <w:tc>
          <w:tcPr>
            <w:tcW w:w="0" w:type="auto"/>
            <w:shd w:val="clear" w:color="000000" w:fill="FFFFFF"/>
            <w:noWrap/>
            <w:vAlign w:val="center"/>
            <w:hideMark/>
          </w:tcPr>
          <w:p w14:paraId="18023F2C" w14:textId="77777777" w:rsidR="00820C57" w:rsidRPr="003B2AB8" w:rsidRDefault="00820C57" w:rsidP="004946BF">
            <w:pPr>
              <w:jc w:val="center"/>
              <w:rPr>
                <w:sz w:val="20"/>
                <w:szCs w:val="20"/>
              </w:rPr>
            </w:pPr>
            <w:r w:rsidRPr="003B2AB8">
              <w:rPr>
                <w:sz w:val="20"/>
                <w:szCs w:val="20"/>
              </w:rPr>
              <w:t>12</w:t>
            </w:r>
          </w:p>
        </w:tc>
        <w:tc>
          <w:tcPr>
            <w:tcW w:w="0" w:type="auto"/>
            <w:shd w:val="clear" w:color="000000" w:fill="FFFFFF"/>
            <w:noWrap/>
            <w:vAlign w:val="center"/>
            <w:hideMark/>
          </w:tcPr>
          <w:p w14:paraId="293E2FCF" w14:textId="77777777" w:rsidR="00820C57" w:rsidRPr="003B2AB8" w:rsidRDefault="00820C57" w:rsidP="004946BF">
            <w:pPr>
              <w:jc w:val="center"/>
              <w:rPr>
                <w:sz w:val="20"/>
                <w:szCs w:val="20"/>
              </w:rPr>
            </w:pPr>
            <w:r w:rsidRPr="003B2AB8">
              <w:rPr>
                <w:sz w:val="20"/>
                <w:szCs w:val="20"/>
              </w:rPr>
              <w:t>12</w:t>
            </w:r>
          </w:p>
        </w:tc>
        <w:tc>
          <w:tcPr>
            <w:tcW w:w="0" w:type="auto"/>
            <w:shd w:val="clear" w:color="000000" w:fill="FFFFFF"/>
            <w:noWrap/>
            <w:vAlign w:val="center"/>
            <w:hideMark/>
          </w:tcPr>
          <w:p w14:paraId="51BCF436" w14:textId="77777777" w:rsidR="00820C57" w:rsidRPr="003B2AB8" w:rsidRDefault="00820C57" w:rsidP="004946BF">
            <w:pPr>
              <w:jc w:val="center"/>
              <w:rPr>
                <w:sz w:val="20"/>
                <w:szCs w:val="20"/>
              </w:rPr>
            </w:pPr>
            <w:r w:rsidRPr="003B2AB8">
              <w:rPr>
                <w:sz w:val="20"/>
                <w:szCs w:val="20"/>
              </w:rPr>
              <w:t>100.0%</w:t>
            </w:r>
          </w:p>
        </w:tc>
        <w:tc>
          <w:tcPr>
            <w:tcW w:w="1752" w:type="dxa"/>
            <w:shd w:val="clear" w:color="000000" w:fill="FFFFFF"/>
            <w:noWrap/>
            <w:vAlign w:val="center"/>
            <w:hideMark/>
          </w:tcPr>
          <w:p w14:paraId="58F1978E" w14:textId="77777777" w:rsidR="00820C57" w:rsidRPr="003B2AB8" w:rsidRDefault="00820C57" w:rsidP="004946BF">
            <w:pPr>
              <w:jc w:val="center"/>
              <w:rPr>
                <w:sz w:val="20"/>
                <w:szCs w:val="20"/>
              </w:rPr>
            </w:pPr>
            <w:r w:rsidRPr="003B2AB8">
              <w:rPr>
                <w:sz w:val="20"/>
                <w:szCs w:val="20"/>
              </w:rPr>
              <w:t>0.0%</w:t>
            </w:r>
          </w:p>
        </w:tc>
        <w:tc>
          <w:tcPr>
            <w:tcW w:w="1555" w:type="dxa"/>
            <w:shd w:val="clear" w:color="000000" w:fill="FFFFFF"/>
            <w:noWrap/>
            <w:vAlign w:val="center"/>
            <w:hideMark/>
          </w:tcPr>
          <w:p w14:paraId="474FF78E" w14:textId="77777777" w:rsidR="00820C57" w:rsidRPr="003B2AB8" w:rsidRDefault="00820C57" w:rsidP="004946BF">
            <w:pPr>
              <w:jc w:val="center"/>
              <w:rPr>
                <w:sz w:val="20"/>
                <w:szCs w:val="20"/>
              </w:rPr>
            </w:pPr>
            <w:r w:rsidRPr="003B2AB8">
              <w:rPr>
                <w:sz w:val="20"/>
                <w:szCs w:val="20"/>
              </w:rPr>
              <w:t>0.0%</w:t>
            </w:r>
          </w:p>
        </w:tc>
      </w:tr>
      <w:tr w:rsidR="00820C57" w:rsidRPr="003B2AB8" w14:paraId="09A3241F" w14:textId="77777777" w:rsidTr="00C533F5">
        <w:trPr>
          <w:trHeight w:val="570"/>
        </w:trPr>
        <w:tc>
          <w:tcPr>
            <w:tcW w:w="0" w:type="auto"/>
            <w:shd w:val="clear" w:color="000000" w:fill="BFBFBF"/>
            <w:vAlign w:val="center"/>
            <w:hideMark/>
          </w:tcPr>
          <w:p w14:paraId="57705490" w14:textId="77777777" w:rsidR="00820C57" w:rsidRPr="003B2AB8" w:rsidRDefault="00820C57" w:rsidP="004946BF">
            <w:pPr>
              <w:rPr>
                <w:sz w:val="20"/>
                <w:szCs w:val="20"/>
              </w:rPr>
            </w:pPr>
            <w:r w:rsidRPr="003B2AB8">
              <w:rPr>
                <w:sz w:val="20"/>
                <w:szCs w:val="20"/>
              </w:rPr>
              <w:t>4: Data Analysis and Personal Finance Literacy</w:t>
            </w:r>
          </w:p>
        </w:tc>
        <w:tc>
          <w:tcPr>
            <w:tcW w:w="0" w:type="auto"/>
            <w:shd w:val="clear" w:color="000000" w:fill="FFFFFF"/>
            <w:noWrap/>
            <w:vAlign w:val="center"/>
            <w:hideMark/>
          </w:tcPr>
          <w:p w14:paraId="0B68F48E" w14:textId="77777777" w:rsidR="00820C57" w:rsidRPr="003B2AB8" w:rsidRDefault="00820C57" w:rsidP="004946BF">
            <w:pPr>
              <w:jc w:val="center"/>
              <w:rPr>
                <w:sz w:val="20"/>
                <w:szCs w:val="20"/>
              </w:rPr>
            </w:pPr>
            <w:r w:rsidRPr="003B2AB8">
              <w:rPr>
                <w:sz w:val="20"/>
                <w:szCs w:val="20"/>
              </w:rPr>
              <w:t>6</w:t>
            </w:r>
          </w:p>
        </w:tc>
        <w:tc>
          <w:tcPr>
            <w:tcW w:w="0" w:type="auto"/>
            <w:shd w:val="clear" w:color="000000" w:fill="FFFFFF"/>
            <w:noWrap/>
            <w:vAlign w:val="center"/>
            <w:hideMark/>
          </w:tcPr>
          <w:p w14:paraId="547A8FB3" w14:textId="77777777" w:rsidR="00820C57" w:rsidRPr="003B2AB8" w:rsidRDefault="00820C57" w:rsidP="004946BF">
            <w:pPr>
              <w:jc w:val="center"/>
              <w:rPr>
                <w:sz w:val="20"/>
                <w:szCs w:val="20"/>
              </w:rPr>
            </w:pPr>
            <w:r w:rsidRPr="003B2AB8">
              <w:rPr>
                <w:sz w:val="20"/>
                <w:szCs w:val="20"/>
              </w:rPr>
              <w:t>6</w:t>
            </w:r>
          </w:p>
        </w:tc>
        <w:tc>
          <w:tcPr>
            <w:tcW w:w="0" w:type="auto"/>
            <w:shd w:val="clear" w:color="000000" w:fill="FFFFFF"/>
            <w:noWrap/>
            <w:vAlign w:val="center"/>
            <w:hideMark/>
          </w:tcPr>
          <w:p w14:paraId="7CE7B4FE" w14:textId="77777777" w:rsidR="00820C57" w:rsidRPr="003B2AB8" w:rsidRDefault="00820C57" w:rsidP="004946BF">
            <w:pPr>
              <w:jc w:val="center"/>
              <w:rPr>
                <w:sz w:val="20"/>
                <w:szCs w:val="20"/>
              </w:rPr>
            </w:pPr>
            <w:r w:rsidRPr="003B2AB8">
              <w:rPr>
                <w:sz w:val="20"/>
                <w:szCs w:val="20"/>
              </w:rPr>
              <w:t>100.0%</w:t>
            </w:r>
          </w:p>
        </w:tc>
        <w:tc>
          <w:tcPr>
            <w:tcW w:w="1752" w:type="dxa"/>
            <w:shd w:val="clear" w:color="000000" w:fill="FFFFFF"/>
            <w:noWrap/>
            <w:vAlign w:val="center"/>
            <w:hideMark/>
          </w:tcPr>
          <w:p w14:paraId="601774D9" w14:textId="77777777" w:rsidR="00820C57" w:rsidRPr="003B2AB8" w:rsidRDefault="00820C57" w:rsidP="004946BF">
            <w:pPr>
              <w:jc w:val="center"/>
              <w:rPr>
                <w:sz w:val="20"/>
                <w:szCs w:val="20"/>
              </w:rPr>
            </w:pPr>
            <w:r w:rsidRPr="003B2AB8">
              <w:rPr>
                <w:sz w:val="20"/>
                <w:szCs w:val="20"/>
              </w:rPr>
              <w:t>0.0%</w:t>
            </w:r>
          </w:p>
        </w:tc>
        <w:tc>
          <w:tcPr>
            <w:tcW w:w="1555" w:type="dxa"/>
            <w:shd w:val="clear" w:color="000000" w:fill="FFFFFF"/>
            <w:noWrap/>
            <w:vAlign w:val="center"/>
            <w:hideMark/>
          </w:tcPr>
          <w:p w14:paraId="7EEA9D58" w14:textId="77777777" w:rsidR="00820C57" w:rsidRPr="003B2AB8" w:rsidRDefault="00820C57" w:rsidP="004946BF">
            <w:pPr>
              <w:jc w:val="center"/>
              <w:rPr>
                <w:sz w:val="20"/>
                <w:szCs w:val="20"/>
              </w:rPr>
            </w:pPr>
            <w:r w:rsidRPr="003B2AB8">
              <w:rPr>
                <w:sz w:val="20"/>
                <w:szCs w:val="20"/>
              </w:rPr>
              <w:t>0.0%</w:t>
            </w:r>
          </w:p>
        </w:tc>
      </w:tr>
      <w:tr w:rsidR="00820C57" w:rsidRPr="003B2AB8" w14:paraId="60C170E2" w14:textId="77777777" w:rsidTr="00C533F5">
        <w:tc>
          <w:tcPr>
            <w:tcW w:w="0" w:type="auto"/>
            <w:gridSpan w:val="6"/>
            <w:shd w:val="clear" w:color="000000" w:fill="0080BA"/>
            <w:vAlign w:val="center"/>
            <w:hideMark/>
          </w:tcPr>
          <w:p w14:paraId="52AD6325" w14:textId="77777777" w:rsidR="00820C57" w:rsidRPr="003B2AB8" w:rsidRDefault="00820C57" w:rsidP="00C33220">
            <w:pPr>
              <w:jc w:val="center"/>
              <w:rPr>
                <w:color w:val="FFFFFF" w:themeColor="background1"/>
                <w:sz w:val="20"/>
                <w:szCs w:val="20"/>
              </w:rPr>
            </w:pPr>
            <w:r w:rsidRPr="003B2AB8">
              <w:rPr>
                <w:color w:val="FFFFFF" w:themeColor="background1"/>
                <w:sz w:val="20"/>
                <w:szCs w:val="20"/>
              </w:rPr>
              <w:t>Standard Type</w:t>
            </w:r>
          </w:p>
        </w:tc>
      </w:tr>
      <w:tr w:rsidR="00820C57" w:rsidRPr="003B2AB8" w14:paraId="43209909" w14:textId="77777777" w:rsidTr="00C533F5">
        <w:trPr>
          <w:trHeight w:val="285"/>
        </w:trPr>
        <w:tc>
          <w:tcPr>
            <w:tcW w:w="0" w:type="auto"/>
            <w:shd w:val="clear" w:color="000000" w:fill="BFBFBF"/>
            <w:vAlign w:val="center"/>
            <w:hideMark/>
          </w:tcPr>
          <w:p w14:paraId="78148443" w14:textId="77777777" w:rsidR="00820C57" w:rsidRPr="003B2AB8" w:rsidRDefault="00820C57" w:rsidP="004946BF">
            <w:pPr>
              <w:rPr>
                <w:sz w:val="20"/>
                <w:szCs w:val="20"/>
              </w:rPr>
            </w:pPr>
            <w:r w:rsidRPr="003B2AB8">
              <w:rPr>
                <w:sz w:val="20"/>
                <w:szCs w:val="20"/>
              </w:rPr>
              <w:t>Readiness Standards</w:t>
            </w:r>
          </w:p>
        </w:tc>
        <w:tc>
          <w:tcPr>
            <w:tcW w:w="0" w:type="auto"/>
            <w:shd w:val="clear" w:color="000000" w:fill="FFFFFF"/>
            <w:noWrap/>
            <w:vAlign w:val="center"/>
            <w:hideMark/>
          </w:tcPr>
          <w:p w14:paraId="4622E956" w14:textId="77777777" w:rsidR="00820C57" w:rsidRPr="003B2AB8" w:rsidRDefault="00820C57" w:rsidP="004946BF">
            <w:pPr>
              <w:jc w:val="center"/>
              <w:rPr>
                <w:sz w:val="20"/>
                <w:szCs w:val="20"/>
              </w:rPr>
            </w:pPr>
            <w:r w:rsidRPr="003B2AB8">
              <w:rPr>
                <w:sz w:val="20"/>
                <w:szCs w:val="20"/>
              </w:rPr>
              <w:t>30-33</w:t>
            </w:r>
          </w:p>
        </w:tc>
        <w:tc>
          <w:tcPr>
            <w:tcW w:w="0" w:type="auto"/>
            <w:shd w:val="clear" w:color="000000" w:fill="FFFFFF"/>
            <w:noWrap/>
            <w:vAlign w:val="center"/>
            <w:hideMark/>
          </w:tcPr>
          <w:p w14:paraId="445E70C4" w14:textId="77777777" w:rsidR="00820C57" w:rsidRPr="003B2AB8" w:rsidRDefault="00820C57" w:rsidP="004946BF">
            <w:pPr>
              <w:jc w:val="center"/>
              <w:rPr>
                <w:sz w:val="20"/>
                <w:szCs w:val="20"/>
              </w:rPr>
            </w:pPr>
            <w:r w:rsidRPr="003B2AB8">
              <w:rPr>
                <w:sz w:val="20"/>
                <w:szCs w:val="20"/>
              </w:rPr>
              <w:t>31</w:t>
            </w:r>
          </w:p>
        </w:tc>
        <w:tc>
          <w:tcPr>
            <w:tcW w:w="0" w:type="auto"/>
            <w:shd w:val="clear" w:color="000000" w:fill="FFFFFF"/>
            <w:noWrap/>
            <w:vAlign w:val="center"/>
            <w:hideMark/>
          </w:tcPr>
          <w:p w14:paraId="7618F7F3" w14:textId="77777777" w:rsidR="00820C57" w:rsidRPr="003B2AB8" w:rsidRDefault="00820C57" w:rsidP="004946BF">
            <w:pPr>
              <w:jc w:val="center"/>
              <w:rPr>
                <w:sz w:val="20"/>
                <w:szCs w:val="20"/>
              </w:rPr>
            </w:pPr>
            <w:r w:rsidRPr="003B2AB8">
              <w:rPr>
                <w:sz w:val="20"/>
                <w:szCs w:val="20"/>
              </w:rPr>
              <w:t>98.4%</w:t>
            </w:r>
          </w:p>
        </w:tc>
        <w:tc>
          <w:tcPr>
            <w:tcW w:w="1752" w:type="dxa"/>
            <w:shd w:val="clear" w:color="000000" w:fill="FFFFFF"/>
            <w:noWrap/>
            <w:vAlign w:val="center"/>
            <w:hideMark/>
          </w:tcPr>
          <w:p w14:paraId="36ED22EF" w14:textId="77777777" w:rsidR="00820C57" w:rsidRPr="003B2AB8" w:rsidRDefault="00820C57" w:rsidP="004946BF">
            <w:pPr>
              <w:jc w:val="center"/>
              <w:rPr>
                <w:sz w:val="20"/>
                <w:szCs w:val="20"/>
              </w:rPr>
            </w:pPr>
            <w:r w:rsidRPr="003B2AB8">
              <w:rPr>
                <w:sz w:val="20"/>
                <w:szCs w:val="20"/>
              </w:rPr>
              <w:t>1.6%</w:t>
            </w:r>
          </w:p>
        </w:tc>
        <w:tc>
          <w:tcPr>
            <w:tcW w:w="1555" w:type="dxa"/>
            <w:shd w:val="clear" w:color="000000" w:fill="FFFFFF"/>
            <w:noWrap/>
            <w:vAlign w:val="center"/>
            <w:hideMark/>
          </w:tcPr>
          <w:p w14:paraId="4261F5D4" w14:textId="77777777" w:rsidR="00820C57" w:rsidRPr="003B2AB8" w:rsidRDefault="00820C57" w:rsidP="004946BF">
            <w:pPr>
              <w:jc w:val="center"/>
              <w:rPr>
                <w:sz w:val="20"/>
                <w:szCs w:val="20"/>
              </w:rPr>
            </w:pPr>
            <w:r w:rsidRPr="003B2AB8">
              <w:rPr>
                <w:sz w:val="20"/>
                <w:szCs w:val="20"/>
              </w:rPr>
              <w:t>0.0%</w:t>
            </w:r>
          </w:p>
        </w:tc>
      </w:tr>
      <w:tr w:rsidR="00820C57" w:rsidRPr="003B2AB8" w14:paraId="30722177" w14:textId="77777777" w:rsidTr="00C533F5">
        <w:trPr>
          <w:trHeight w:val="285"/>
        </w:trPr>
        <w:tc>
          <w:tcPr>
            <w:tcW w:w="0" w:type="auto"/>
            <w:shd w:val="clear" w:color="000000" w:fill="BFBFBF"/>
            <w:vAlign w:val="center"/>
            <w:hideMark/>
          </w:tcPr>
          <w:p w14:paraId="549BD200" w14:textId="77777777" w:rsidR="00820C57" w:rsidRPr="003B2AB8" w:rsidRDefault="00820C57" w:rsidP="004946BF">
            <w:pPr>
              <w:rPr>
                <w:sz w:val="20"/>
                <w:szCs w:val="20"/>
              </w:rPr>
            </w:pPr>
            <w:r w:rsidRPr="003B2AB8">
              <w:rPr>
                <w:sz w:val="20"/>
                <w:szCs w:val="20"/>
              </w:rPr>
              <w:t>Supporting Standards</w:t>
            </w:r>
          </w:p>
        </w:tc>
        <w:tc>
          <w:tcPr>
            <w:tcW w:w="0" w:type="auto"/>
            <w:shd w:val="clear" w:color="000000" w:fill="FFFFFF"/>
            <w:noWrap/>
            <w:vAlign w:val="center"/>
            <w:hideMark/>
          </w:tcPr>
          <w:p w14:paraId="78D41AC5" w14:textId="77777777" w:rsidR="00820C57" w:rsidRPr="003B2AB8" w:rsidRDefault="00820C57" w:rsidP="004946BF">
            <w:pPr>
              <w:jc w:val="center"/>
              <w:rPr>
                <w:sz w:val="20"/>
                <w:szCs w:val="20"/>
              </w:rPr>
            </w:pPr>
            <w:r w:rsidRPr="003B2AB8">
              <w:rPr>
                <w:sz w:val="20"/>
                <w:szCs w:val="20"/>
              </w:rPr>
              <w:t>17-20</w:t>
            </w:r>
          </w:p>
        </w:tc>
        <w:tc>
          <w:tcPr>
            <w:tcW w:w="0" w:type="auto"/>
            <w:shd w:val="clear" w:color="000000" w:fill="FFFFFF"/>
            <w:noWrap/>
            <w:vAlign w:val="center"/>
            <w:hideMark/>
          </w:tcPr>
          <w:p w14:paraId="7C13F06C" w14:textId="77777777" w:rsidR="00820C57" w:rsidRPr="003B2AB8" w:rsidRDefault="00820C57" w:rsidP="004946BF">
            <w:pPr>
              <w:jc w:val="center"/>
              <w:rPr>
                <w:sz w:val="20"/>
                <w:szCs w:val="20"/>
              </w:rPr>
            </w:pPr>
            <w:r w:rsidRPr="003B2AB8">
              <w:rPr>
                <w:sz w:val="20"/>
                <w:szCs w:val="20"/>
              </w:rPr>
              <w:t>19</w:t>
            </w:r>
          </w:p>
        </w:tc>
        <w:tc>
          <w:tcPr>
            <w:tcW w:w="0" w:type="auto"/>
            <w:shd w:val="clear" w:color="000000" w:fill="FFFFFF"/>
            <w:noWrap/>
            <w:vAlign w:val="center"/>
            <w:hideMark/>
          </w:tcPr>
          <w:p w14:paraId="23FB5EFD" w14:textId="77777777" w:rsidR="00820C57" w:rsidRPr="003B2AB8" w:rsidRDefault="00820C57" w:rsidP="004946BF">
            <w:pPr>
              <w:jc w:val="center"/>
              <w:rPr>
                <w:sz w:val="20"/>
                <w:szCs w:val="20"/>
              </w:rPr>
            </w:pPr>
            <w:r w:rsidRPr="003B2AB8">
              <w:rPr>
                <w:sz w:val="20"/>
                <w:szCs w:val="20"/>
              </w:rPr>
              <w:t>98.7%</w:t>
            </w:r>
          </w:p>
        </w:tc>
        <w:tc>
          <w:tcPr>
            <w:tcW w:w="1752" w:type="dxa"/>
            <w:shd w:val="clear" w:color="000000" w:fill="FFFFFF"/>
            <w:noWrap/>
            <w:vAlign w:val="center"/>
            <w:hideMark/>
          </w:tcPr>
          <w:p w14:paraId="7D77DE35" w14:textId="77777777" w:rsidR="00820C57" w:rsidRPr="003B2AB8" w:rsidRDefault="00820C57" w:rsidP="004946BF">
            <w:pPr>
              <w:jc w:val="center"/>
              <w:rPr>
                <w:sz w:val="20"/>
                <w:szCs w:val="20"/>
              </w:rPr>
            </w:pPr>
            <w:r w:rsidRPr="003B2AB8">
              <w:rPr>
                <w:sz w:val="20"/>
                <w:szCs w:val="20"/>
              </w:rPr>
              <w:t>1.3%</w:t>
            </w:r>
          </w:p>
        </w:tc>
        <w:tc>
          <w:tcPr>
            <w:tcW w:w="1555" w:type="dxa"/>
            <w:shd w:val="clear" w:color="000000" w:fill="FFFFFF"/>
            <w:noWrap/>
            <w:vAlign w:val="center"/>
            <w:hideMark/>
          </w:tcPr>
          <w:p w14:paraId="7A949056" w14:textId="77777777" w:rsidR="00820C57" w:rsidRPr="003B2AB8" w:rsidRDefault="00820C57" w:rsidP="004946BF">
            <w:pPr>
              <w:jc w:val="center"/>
              <w:rPr>
                <w:sz w:val="20"/>
                <w:szCs w:val="20"/>
              </w:rPr>
            </w:pPr>
            <w:r w:rsidRPr="003B2AB8">
              <w:rPr>
                <w:sz w:val="20"/>
                <w:szCs w:val="20"/>
              </w:rPr>
              <w:t>0.0%</w:t>
            </w:r>
          </w:p>
        </w:tc>
      </w:tr>
      <w:tr w:rsidR="00820C57" w:rsidRPr="003B2AB8" w14:paraId="6987B57E" w14:textId="77777777" w:rsidTr="00C533F5">
        <w:tc>
          <w:tcPr>
            <w:tcW w:w="0" w:type="auto"/>
            <w:gridSpan w:val="6"/>
            <w:shd w:val="clear" w:color="000000" w:fill="0080BA"/>
            <w:vAlign w:val="center"/>
            <w:hideMark/>
          </w:tcPr>
          <w:p w14:paraId="257A8D33" w14:textId="77777777" w:rsidR="00820C57" w:rsidRPr="003B2AB8" w:rsidRDefault="00820C57" w:rsidP="00C33220">
            <w:pPr>
              <w:jc w:val="center"/>
              <w:rPr>
                <w:color w:val="FFFFFF" w:themeColor="background1"/>
                <w:sz w:val="20"/>
                <w:szCs w:val="20"/>
              </w:rPr>
            </w:pPr>
            <w:r w:rsidRPr="003B2AB8">
              <w:rPr>
                <w:color w:val="FFFFFF" w:themeColor="background1"/>
                <w:sz w:val="20"/>
                <w:szCs w:val="20"/>
              </w:rPr>
              <w:t>Item Type</w:t>
            </w:r>
          </w:p>
        </w:tc>
      </w:tr>
      <w:tr w:rsidR="00820C57" w:rsidRPr="003B2AB8" w14:paraId="4C20570A" w14:textId="77777777" w:rsidTr="00C533F5">
        <w:trPr>
          <w:trHeight w:val="285"/>
        </w:trPr>
        <w:tc>
          <w:tcPr>
            <w:tcW w:w="0" w:type="auto"/>
            <w:shd w:val="clear" w:color="000000" w:fill="BFBFBF"/>
            <w:vAlign w:val="center"/>
            <w:hideMark/>
          </w:tcPr>
          <w:p w14:paraId="164A860E" w14:textId="77777777" w:rsidR="00820C57" w:rsidRPr="003B2AB8" w:rsidRDefault="00820C57" w:rsidP="004946BF">
            <w:pPr>
              <w:rPr>
                <w:sz w:val="20"/>
                <w:szCs w:val="20"/>
              </w:rPr>
            </w:pPr>
            <w:r w:rsidRPr="003B2AB8">
              <w:rPr>
                <w:sz w:val="20"/>
                <w:szCs w:val="20"/>
              </w:rPr>
              <w:t>Multiple Choice</w:t>
            </w:r>
          </w:p>
        </w:tc>
        <w:tc>
          <w:tcPr>
            <w:tcW w:w="0" w:type="auto"/>
            <w:shd w:val="clear" w:color="000000" w:fill="FFFFFF"/>
            <w:noWrap/>
            <w:vAlign w:val="center"/>
            <w:hideMark/>
          </w:tcPr>
          <w:p w14:paraId="44059469" w14:textId="77777777" w:rsidR="00820C57" w:rsidRPr="003B2AB8" w:rsidRDefault="00820C57" w:rsidP="004946BF">
            <w:pPr>
              <w:jc w:val="center"/>
              <w:rPr>
                <w:sz w:val="20"/>
                <w:szCs w:val="20"/>
              </w:rPr>
            </w:pPr>
            <w:r w:rsidRPr="003B2AB8">
              <w:rPr>
                <w:sz w:val="20"/>
                <w:szCs w:val="20"/>
              </w:rPr>
              <w:t>47</w:t>
            </w:r>
          </w:p>
        </w:tc>
        <w:tc>
          <w:tcPr>
            <w:tcW w:w="0" w:type="auto"/>
            <w:shd w:val="clear" w:color="000000" w:fill="FFFFFF"/>
            <w:noWrap/>
            <w:vAlign w:val="center"/>
            <w:hideMark/>
          </w:tcPr>
          <w:p w14:paraId="251B6B5E" w14:textId="77777777" w:rsidR="00820C57" w:rsidRPr="003B2AB8" w:rsidRDefault="00820C57" w:rsidP="004946BF">
            <w:pPr>
              <w:jc w:val="center"/>
              <w:rPr>
                <w:sz w:val="20"/>
                <w:szCs w:val="20"/>
              </w:rPr>
            </w:pPr>
            <w:r w:rsidRPr="003B2AB8">
              <w:rPr>
                <w:sz w:val="20"/>
                <w:szCs w:val="20"/>
              </w:rPr>
              <w:t>47</w:t>
            </w:r>
          </w:p>
        </w:tc>
        <w:tc>
          <w:tcPr>
            <w:tcW w:w="0" w:type="auto"/>
            <w:shd w:val="clear" w:color="000000" w:fill="FFFFFF"/>
            <w:noWrap/>
            <w:vAlign w:val="center"/>
            <w:hideMark/>
          </w:tcPr>
          <w:p w14:paraId="27F2CC38" w14:textId="77777777" w:rsidR="00820C57" w:rsidRPr="003B2AB8" w:rsidRDefault="00820C57" w:rsidP="004946BF">
            <w:pPr>
              <w:jc w:val="center"/>
              <w:rPr>
                <w:sz w:val="20"/>
                <w:szCs w:val="20"/>
              </w:rPr>
            </w:pPr>
            <w:r w:rsidRPr="003B2AB8">
              <w:rPr>
                <w:sz w:val="20"/>
                <w:szCs w:val="20"/>
              </w:rPr>
              <w:t>98.4%</w:t>
            </w:r>
          </w:p>
        </w:tc>
        <w:tc>
          <w:tcPr>
            <w:tcW w:w="1752" w:type="dxa"/>
            <w:shd w:val="clear" w:color="000000" w:fill="FFFFFF"/>
            <w:noWrap/>
            <w:vAlign w:val="center"/>
            <w:hideMark/>
          </w:tcPr>
          <w:p w14:paraId="2891365E" w14:textId="77777777" w:rsidR="00820C57" w:rsidRPr="003B2AB8" w:rsidRDefault="00820C57" w:rsidP="004946BF">
            <w:pPr>
              <w:jc w:val="center"/>
              <w:rPr>
                <w:sz w:val="20"/>
                <w:szCs w:val="20"/>
              </w:rPr>
            </w:pPr>
            <w:r w:rsidRPr="003B2AB8">
              <w:rPr>
                <w:sz w:val="20"/>
                <w:szCs w:val="20"/>
              </w:rPr>
              <w:t>1.6%</w:t>
            </w:r>
          </w:p>
        </w:tc>
        <w:tc>
          <w:tcPr>
            <w:tcW w:w="1555" w:type="dxa"/>
            <w:shd w:val="clear" w:color="000000" w:fill="FFFFFF"/>
            <w:noWrap/>
            <w:vAlign w:val="center"/>
            <w:hideMark/>
          </w:tcPr>
          <w:p w14:paraId="65DF8C90" w14:textId="77777777" w:rsidR="00820C57" w:rsidRPr="003B2AB8" w:rsidRDefault="004946BF" w:rsidP="004946BF">
            <w:pPr>
              <w:jc w:val="center"/>
              <w:rPr>
                <w:sz w:val="20"/>
                <w:szCs w:val="20"/>
              </w:rPr>
            </w:pPr>
            <w:r w:rsidRPr="003B2AB8">
              <w:rPr>
                <w:sz w:val="20"/>
                <w:szCs w:val="20"/>
              </w:rPr>
              <w:t>0.0%</w:t>
            </w:r>
          </w:p>
        </w:tc>
      </w:tr>
      <w:tr w:rsidR="00820C57" w:rsidRPr="003B2AB8" w14:paraId="50807A74" w14:textId="77777777" w:rsidTr="00C533F5">
        <w:trPr>
          <w:trHeight w:val="285"/>
        </w:trPr>
        <w:tc>
          <w:tcPr>
            <w:tcW w:w="0" w:type="auto"/>
            <w:shd w:val="clear" w:color="000000" w:fill="BFBFBF"/>
            <w:vAlign w:val="center"/>
            <w:hideMark/>
          </w:tcPr>
          <w:p w14:paraId="0FB7F599" w14:textId="77777777" w:rsidR="00820C57" w:rsidRPr="003B2AB8" w:rsidRDefault="00820C57" w:rsidP="004946BF">
            <w:pPr>
              <w:rPr>
                <w:sz w:val="20"/>
                <w:szCs w:val="20"/>
              </w:rPr>
            </w:pPr>
            <w:r w:rsidRPr="003B2AB8">
              <w:rPr>
                <w:sz w:val="20"/>
                <w:szCs w:val="20"/>
              </w:rPr>
              <w:t>Gri</w:t>
            </w:r>
            <w:r w:rsidR="009F4576" w:rsidRPr="003B2AB8">
              <w:rPr>
                <w:sz w:val="20"/>
                <w:szCs w:val="20"/>
              </w:rPr>
              <w:t>dded</w:t>
            </w:r>
          </w:p>
        </w:tc>
        <w:tc>
          <w:tcPr>
            <w:tcW w:w="0" w:type="auto"/>
            <w:shd w:val="clear" w:color="000000" w:fill="FFFFFF"/>
            <w:noWrap/>
            <w:vAlign w:val="center"/>
            <w:hideMark/>
          </w:tcPr>
          <w:p w14:paraId="1F55B5B1" w14:textId="77777777" w:rsidR="00820C57" w:rsidRPr="003B2AB8" w:rsidRDefault="00820C57" w:rsidP="004946BF">
            <w:pPr>
              <w:jc w:val="center"/>
              <w:rPr>
                <w:sz w:val="20"/>
                <w:szCs w:val="20"/>
              </w:rPr>
            </w:pPr>
            <w:r w:rsidRPr="003B2AB8">
              <w:rPr>
                <w:sz w:val="20"/>
                <w:szCs w:val="20"/>
              </w:rPr>
              <w:t>3</w:t>
            </w:r>
          </w:p>
        </w:tc>
        <w:tc>
          <w:tcPr>
            <w:tcW w:w="0" w:type="auto"/>
            <w:shd w:val="clear" w:color="000000" w:fill="FFFFFF"/>
            <w:noWrap/>
            <w:vAlign w:val="center"/>
            <w:hideMark/>
          </w:tcPr>
          <w:p w14:paraId="3628093D" w14:textId="77777777" w:rsidR="00820C57" w:rsidRPr="003B2AB8" w:rsidRDefault="00820C57" w:rsidP="004946BF">
            <w:pPr>
              <w:jc w:val="center"/>
              <w:rPr>
                <w:sz w:val="20"/>
                <w:szCs w:val="20"/>
              </w:rPr>
            </w:pPr>
            <w:r w:rsidRPr="003B2AB8">
              <w:rPr>
                <w:sz w:val="20"/>
                <w:szCs w:val="20"/>
              </w:rPr>
              <w:t>3</w:t>
            </w:r>
          </w:p>
        </w:tc>
        <w:tc>
          <w:tcPr>
            <w:tcW w:w="0" w:type="auto"/>
            <w:shd w:val="clear" w:color="000000" w:fill="FFFFFF"/>
            <w:noWrap/>
            <w:vAlign w:val="center"/>
            <w:hideMark/>
          </w:tcPr>
          <w:p w14:paraId="38F73D01" w14:textId="77777777" w:rsidR="00820C57" w:rsidRPr="003B2AB8" w:rsidRDefault="00820C57" w:rsidP="004946BF">
            <w:pPr>
              <w:jc w:val="center"/>
              <w:rPr>
                <w:sz w:val="20"/>
                <w:szCs w:val="20"/>
              </w:rPr>
            </w:pPr>
            <w:r w:rsidRPr="003B2AB8">
              <w:rPr>
                <w:sz w:val="20"/>
                <w:szCs w:val="20"/>
              </w:rPr>
              <w:t>100.0%</w:t>
            </w:r>
          </w:p>
        </w:tc>
        <w:tc>
          <w:tcPr>
            <w:tcW w:w="1752" w:type="dxa"/>
            <w:shd w:val="clear" w:color="000000" w:fill="FFFFFF"/>
            <w:noWrap/>
            <w:vAlign w:val="center"/>
            <w:hideMark/>
          </w:tcPr>
          <w:p w14:paraId="7FEC3304" w14:textId="77777777" w:rsidR="00820C57" w:rsidRPr="003B2AB8" w:rsidRDefault="00820C57" w:rsidP="004946BF">
            <w:pPr>
              <w:jc w:val="center"/>
              <w:rPr>
                <w:sz w:val="20"/>
                <w:szCs w:val="20"/>
              </w:rPr>
            </w:pPr>
            <w:r w:rsidRPr="003B2AB8">
              <w:rPr>
                <w:sz w:val="20"/>
                <w:szCs w:val="20"/>
              </w:rPr>
              <w:t>0.0%</w:t>
            </w:r>
          </w:p>
        </w:tc>
        <w:tc>
          <w:tcPr>
            <w:tcW w:w="1555" w:type="dxa"/>
            <w:shd w:val="clear" w:color="000000" w:fill="FFFFFF"/>
            <w:noWrap/>
            <w:vAlign w:val="center"/>
            <w:hideMark/>
          </w:tcPr>
          <w:p w14:paraId="236E109F" w14:textId="77777777" w:rsidR="00820C57" w:rsidRPr="003B2AB8" w:rsidRDefault="00820C57" w:rsidP="004946BF">
            <w:pPr>
              <w:jc w:val="center"/>
              <w:rPr>
                <w:sz w:val="20"/>
                <w:szCs w:val="20"/>
              </w:rPr>
            </w:pPr>
            <w:r w:rsidRPr="003B2AB8">
              <w:rPr>
                <w:sz w:val="20"/>
                <w:szCs w:val="20"/>
              </w:rPr>
              <w:t>0.0%</w:t>
            </w:r>
          </w:p>
        </w:tc>
      </w:tr>
      <w:tr w:rsidR="00820C57" w:rsidRPr="003B2AB8" w14:paraId="24D84D6C" w14:textId="77777777" w:rsidTr="00C533F5">
        <w:trPr>
          <w:trHeight w:val="300"/>
        </w:trPr>
        <w:tc>
          <w:tcPr>
            <w:tcW w:w="0" w:type="auto"/>
            <w:shd w:val="clear" w:color="000000" w:fill="BFBFBF"/>
            <w:vAlign w:val="center"/>
            <w:hideMark/>
          </w:tcPr>
          <w:p w14:paraId="6BE6940C" w14:textId="77777777" w:rsidR="00820C57" w:rsidRPr="003B2AB8" w:rsidRDefault="00820C57" w:rsidP="004946BF">
            <w:pPr>
              <w:rPr>
                <w:b/>
                <w:bCs/>
                <w:sz w:val="20"/>
                <w:szCs w:val="20"/>
              </w:rPr>
            </w:pPr>
            <w:r w:rsidRPr="003B2AB8">
              <w:rPr>
                <w:b/>
                <w:bCs/>
                <w:sz w:val="20"/>
                <w:szCs w:val="20"/>
              </w:rPr>
              <w:t>Total</w:t>
            </w:r>
          </w:p>
        </w:tc>
        <w:tc>
          <w:tcPr>
            <w:tcW w:w="0" w:type="auto"/>
            <w:shd w:val="clear" w:color="000000" w:fill="FFFFFF"/>
            <w:noWrap/>
            <w:vAlign w:val="center"/>
            <w:hideMark/>
          </w:tcPr>
          <w:p w14:paraId="07CA7D62" w14:textId="77777777" w:rsidR="00820C57" w:rsidRPr="003B2AB8" w:rsidRDefault="00820C57" w:rsidP="004946BF">
            <w:pPr>
              <w:jc w:val="center"/>
              <w:rPr>
                <w:b/>
                <w:bCs/>
                <w:sz w:val="20"/>
                <w:szCs w:val="20"/>
              </w:rPr>
            </w:pPr>
            <w:r w:rsidRPr="003B2AB8">
              <w:rPr>
                <w:b/>
                <w:bCs/>
                <w:sz w:val="20"/>
                <w:szCs w:val="20"/>
              </w:rPr>
              <w:t>50</w:t>
            </w:r>
          </w:p>
        </w:tc>
        <w:tc>
          <w:tcPr>
            <w:tcW w:w="0" w:type="auto"/>
            <w:shd w:val="clear" w:color="000000" w:fill="FFFFFF"/>
            <w:noWrap/>
            <w:vAlign w:val="center"/>
            <w:hideMark/>
          </w:tcPr>
          <w:p w14:paraId="7E38D72A" w14:textId="77777777" w:rsidR="00820C57" w:rsidRPr="003B2AB8" w:rsidRDefault="00820C57" w:rsidP="004946BF">
            <w:pPr>
              <w:jc w:val="center"/>
              <w:rPr>
                <w:b/>
                <w:bCs/>
                <w:sz w:val="20"/>
                <w:szCs w:val="20"/>
              </w:rPr>
            </w:pPr>
            <w:r w:rsidRPr="003B2AB8">
              <w:rPr>
                <w:b/>
                <w:bCs/>
                <w:sz w:val="20"/>
                <w:szCs w:val="20"/>
              </w:rPr>
              <w:t>50</w:t>
            </w:r>
          </w:p>
        </w:tc>
        <w:tc>
          <w:tcPr>
            <w:tcW w:w="0" w:type="auto"/>
            <w:shd w:val="clear" w:color="000000" w:fill="FFFFFF"/>
            <w:noWrap/>
            <w:vAlign w:val="center"/>
            <w:hideMark/>
          </w:tcPr>
          <w:p w14:paraId="65A359CC" w14:textId="77777777" w:rsidR="00820C57" w:rsidRPr="003B2AB8" w:rsidRDefault="00820C57" w:rsidP="004946BF">
            <w:pPr>
              <w:jc w:val="center"/>
              <w:rPr>
                <w:b/>
                <w:bCs/>
                <w:sz w:val="20"/>
                <w:szCs w:val="20"/>
              </w:rPr>
            </w:pPr>
            <w:r w:rsidRPr="003B2AB8">
              <w:rPr>
                <w:b/>
                <w:bCs/>
                <w:sz w:val="20"/>
                <w:szCs w:val="20"/>
              </w:rPr>
              <w:t>98.5%</w:t>
            </w:r>
          </w:p>
        </w:tc>
        <w:tc>
          <w:tcPr>
            <w:tcW w:w="1752" w:type="dxa"/>
            <w:shd w:val="clear" w:color="000000" w:fill="FFFFFF"/>
            <w:noWrap/>
            <w:vAlign w:val="center"/>
            <w:hideMark/>
          </w:tcPr>
          <w:p w14:paraId="46B8C48B" w14:textId="77777777" w:rsidR="00820C57" w:rsidRPr="003B2AB8" w:rsidRDefault="00820C57" w:rsidP="004946BF">
            <w:pPr>
              <w:jc w:val="center"/>
              <w:rPr>
                <w:b/>
                <w:bCs/>
                <w:sz w:val="20"/>
                <w:szCs w:val="20"/>
              </w:rPr>
            </w:pPr>
            <w:r w:rsidRPr="003B2AB8">
              <w:rPr>
                <w:b/>
                <w:bCs/>
                <w:sz w:val="20"/>
                <w:szCs w:val="20"/>
              </w:rPr>
              <w:t>1.5%</w:t>
            </w:r>
          </w:p>
        </w:tc>
        <w:tc>
          <w:tcPr>
            <w:tcW w:w="1555" w:type="dxa"/>
            <w:shd w:val="clear" w:color="000000" w:fill="FFFFFF"/>
            <w:noWrap/>
            <w:vAlign w:val="center"/>
            <w:hideMark/>
          </w:tcPr>
          <w:p w14:paraId="3958F5BE" w14:textId="77777777" w:rsidR="00820C57" w:rsidRPr="003B2AB8" w:rsidRDefault="00820C57" w:rsidP="004946BF">
            <w:pPr>
              <w:jc w:val="center"/>
              <w:rPr>
                <w:b/>
                <w:bCs/>
                <w:sz w:val="20"/>
                <w:szCs w:val="20"/>
              </w:rPr>
            </w:pPr>
            <w:r w:rsidRPr="003B2AB8">
              <w:rPr>
                <w:b/>
                <w:bCs/>
                <w:sz w:val="20"/>
                <w:szCs w:val="20"/>
              </w:rPr>
              <w:t>0.0%</w:t>
            </w:r>
          </w:p>
        </w:tc>
      </w:tr>
    </w:tbl>
    <w:p w14:paraId="191EE215" w14:textId="77777777" w:rsidR="00820C57" w:rsidRPr="003B2AB8" w:rsidRDefault="00820C57" w:rsidP="006D2FCD"/>
    <w:p w14:paraId="50D3FBCC" w14:textId="356DFB4B" w:rsidR="00820C57" w:rsidRPr="003B2AB8" w:rsidRDefault="00820C57" w:rsidP="00820C57">
      <w:r w:rsidRPr="003B2AB8">
        <w:t xml:space="preserve">The content review results for </w:t>
      </w:r>
      <w:r w:rsidR="00086FD4" w:rsidRPr="003B2AB8">
        <w:t xml:space="preserve">the </w:t>
      </w:r>
      <w:r w:rsidR="00A25851" w:rsidRPr="003B2AB8">
        <w:t xml:space="preserve">2016 grade 8 </w:t>
      </w:r>
      <w:r w:rsidR="00086FD4" w:rsidRPr="003B2AB8">
        <w:t xml:space="preserve">mathematics </w:t>
      </w:r>
      <w:r w:rsidR="00A25851" w:rsidRPr="003B2AB8">
        <w:t xml:space="preserve">STAAR test form </w:t>
      </w:r>
      <w:r w:rsidRPr="003B2AB8">
        <w:t xml:space="preserve">are presented in Table 2. The number of items included on the test form matched the blueprint overall, </w:t>
      </w:r>
      <w:r w:rsidR="009F4576" w:rsidRPr="003B2AB8">
        <w:t>as well as</w:t>
      </w:r>
      <w:r w:rsidR="00E2363C" w:rsidRPr="003B2AB8">
        <w:t>,</w:t>
      </w:r>
      <w:r w:rsidR="009F4576" w:rsidRPr="003B2AB8">
        <w:t xml:space="preserve"> </w:t>
      </w:r>
      <w:r w:rsidRPr="003B2AB8">
        <w:t>disaggregated by reporting category, standard type, and item type.</w:t>
      </w:r>
    </w:p>
    <w:p w14:paraId="6F6F957A" w14:textId="77777777" w:rsidR="00C03930" w:rsidRPr="003B2AB8" w:rsidRDefault="00C03930" w:rsidP="00820C57"/>
    <w:p w14:paraId="26C65764" w14:textId="3E115FC2" w:rsidR="00820C57" w:rsidRPr="003B2AB8" w:rsidRDefault="00820C57" w:rsidP="00820C57">
      <w:r w:rsidRPr="003B2AB8">
        <w:t xml:space="preserve">All grade 8 </w:t>
      </w:r>
      <w:r w:rsidR="00086FD4" w:rsidRPr="003B2AB8">
        <w:t xml:space="preserve">mathematics </w:t>
      </w:r>
      <w:r w:rsidRPr="003B2AB8">
        <w:t>items falling under reporting categories 1</w:t>
      </w:r>
      <w:r w:rsidR="00A25851" w:rsidRPr="003B2AB8">
        <w:t xml:space="preserve"> </w:t>
      </w:r>
      <w:r w:rsidRPr="003B2AB8">
        <w:t>and 4 were rated as fully aligned to the intended expectation by all four raters. For reporting categories 2 and 3 the average percentage of items fully aligned to the intended expectation were 97.7</w:t>
      </w:r>
      <w:r w:rsidR="002E2227">
        <w:t>%</w:t>
      </w:r>
      <w:r w:rsidRPr="003B2AB8">
        <w:t xml:space="preserve"> and 96.3</w:t>
      </w:r>
      <w:r w:rsidR="002E2227">
        <w:t>%</w:t>
      </w:r>
      <w:r w:rsidRPr="003B2AB8">
        <w:t xml:space="preserve">, respectively; only a small average percentage </w:t>
      </w:r>
      <w:r w:rsidR="00086FD4" w:rsidRPr="003B2AB8">
        <w:t xml:space="preserve">was </w:t>
      </w:r>
      <w:r w:rsidRPr="003B2AB8">
        <w:t>rated as partially or not aligned to the expect</w:t>
      </w:r>
      <w:r w:rsidR="00C03930" w:rsidRPr="003B2AB8">
        <w:t xml:space="preserve">ation. </w:t>
      </w:r>
    </w:p>
    <w:p w14:paraId="22136ABA" w14:textId="77777777" w:rsidR="00820C57" w:rsidRPr="003B2AB8" w:rsidRDefault="00820C57" w:rsidP="00820C57"/>
    <w:p w14:paraId="5DF21B6A" w14:textId="77777777" w:rsidR="00CD470F" w:rsidRPr="003B2AB8" w:rsidRDefault="00CD470F" w:rsidP="007D0070">
      <w:pPr>
        <w:pStyle w:val="HTable"/>
      </w:pPr>
      <w:r w:rsidRPr="003B2AB8">
        <w:br w:type="page"/>
      </w:r>
    </w:p>
    <w:p w14:paraId="2C12940A" w14:textId="77777777" w:rsidR="00820C57" w:rsidRPr="003B2AB8" w:rsidRDefault="00820C57" w:rsidP="007D0070">
      <w:pPr>
        <w:pStyle w:val="HTable"/>
      </w:pPr>
      <w:bookmarkStart w:id="15" w:name="_Toc446071677"/>
      <w:r w:rsidRPr="003B2AB8">
        <w:t xml:space="preserve">Table 2. Grade 8 </w:t>
      </w:r>
      <w:r w:rsidR="00A25851" w:rsidRPr="003B2AB8">
        <w:t>Math</w:t>
      </w:r>
      <w:r w:rsidR="00086FD4" w:rsidRPr="003B2AB8">
        <w:t>ematics</w:t>
      </w:r>
      <w:r w:rsidRPr="003B2AB8">
        <w:t xml:space="preserve"> </w:t>
      </w:r>
      <w:r w:rsidR="00FD3F81" w:rsidRPr="003B2AB8">
        <w:t>C</w:t>
      </w:r>
      <w:r w:rsidRPr="003B2AB8">
        <w:t xml:space="preserve">ontent </w:t>
      </w:r>
      <w:r w:rsidR="00FD3F81" w:rsidRPr="003B2AB8">
        <w:t>A</w:t>
      </w:r>
      <w:r w:rsidRPr="003B2AB8">
        <w:t xml:space="preserve">lignment and </w:t>
      </w:r>
      <w:r w:rsidR="00FD3F81" w:rsidRPr="003B2AB8">
        <w:t>B</w:t>
      </w:r>
      <w:r w:rsidRPr="003B2AB8">
        <w:t xml:space="preserve">lueprint </w:t>
      </w:r>
      <w:r w:rsidR="00FD3F81" w:rsidRPr="003B2AB8">
        <w:t>C</w:t>
      </w:r>
      <w:r w:rsidRPr="003B2AB8">
        <w:t xml:space="preserve">onsistency </w:t>
      </w:r>
      <w:r w:rsidR="00FD3F81" w:rsidRPr="003B2AB8">
        <w:t>R</w:t>
      </w:r>
      <w:r w:rsidRPr="003B2AB8">
        <w:t>esults</w:t>
      </w:r>
      <w:bookmarkEnd w:id="15"/>
    </w:p>
    <w:tbl>
      <w:tblPr>
        <w:tblW w:w="0" w:type="auto"/>
        <w:tblInd w:w="93"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left w:w="115" w:type="dxa"/>
          <w:bottom w:w="14" w:type="dxa"/>
          <w:right w:w="115" w:type="dxa"/>
        </w:tblCellMar>
        <w:tblLook w:val="04A0" w:firstRow="1" w:lastRow="0" w:firstColumn="1" w:lastColumn="0" w:noHBand="0" w:noVBand="1"/>
      </w:tblPr>
      <w:tblGrid>
        <w:gridCol w:w="2058"/>
        <w:gridCol w:w="1264"/>
        <w:gridCol w:w="1222"/>
        <w:gridCol w:w="1648"/>
        <w:gridCol w:w="1679"/>
        <w:gridCol w:w="1626"/>
      </w:tblGrid>
      <w:tr w:rsidR="000B2D23" w:rsidRPr="003B2AB8" w14:paraId="211084CB" w14:textId="77777777" w:rsidTr="00C533F5">
        <w:tc>
          <w:tcPr>
            <w:tcW w:w="0" w:type="auto"/>
            <w:tcBorders>
              <w:bottom w:val="single" w:sz="8" w:space="0" w:color="D9D9D9"/>
            </w:tcBorders>
            <w:shd w:val="clear" w:color="000000" w:fill="00528B"/>
            <w:noWrap/>
            <w:vAlign w:val="bottom"/>
            <w:hideMark/>
          </w:tcPr>
          <w:p w14:paraId="5FC61800" w14:textId="77777777" w:rsidR="00820C57" w:rsidRPr="003B2AB8" w:rsidRDefault="00820C57" w:rsidP="000B2D23">
            <w:pPr>
              <w:spacing w:after="40"/>
              <w:rPr>
                <w:color w:val="FFFFFF" w:themeColor="background1"/>
                <w:sz w:val="20"/>
                <w:szCs w:val="20"/>
              </w:rPr>
            </w:pPr>
            <w:r w:rsidRPr="003B2AB8">
              <w:rPr>
                <w:color w:val="FFFFFF" w:themeColor="background1"/>
                <w:sz w:val="20"/>
                <w:szCs w:val="20"/>
              </w:rPr>
              <w:t>Category</w:t>
            </w:r>
          </w:p>
        </w:tc>
        <w:tc>
          <w:tcPr>
            <w:tcW w:w="0" w:type="auto"/>
            <w:tcBorders>
              <w:bottom w:val="single" w:sz="8" w:space="0" w:color="D9D9D9"/>
            </w:tcBorders>
            <w:shd w:val="clear" w:color="000000" w:fill="00528B"/>
            <w:vAlign w:val="bottom"/>
            <w:hideMark/>
          </w:tcPr>
          <w:p w14:paraId="4D93A612" w14:textId="77777777" w:rsidR="00820C57" w:rsidRPr="003B2AB8" w:rsidRDefault="00820C57" w:rsidP="000B2D23">
            <w:pPr>
              <w:spacing w:after="40"/>
              <w:jc w:val="center"/>
              <w:rPr>
                <w:color w:val="FFFFFF" w:themeColor="background1"/>
                <w:sz w:val="20"/>
                <w:szCs w:val="20"/>
              </w:rPr>
            </w:pPr>
            <w:r w:rsidRPr="003B2AB8">
              <w:rPr>
                <w:color w:val="FFFFFF" w:themeColor="background1"/>
                <w:sz w:val="20"/>
                <w:szCs w:val="20"/>
              </w:rPr>
              <w:t>Blueprint # Questions</w:t>
            </w:r>
          </w:p>
        </w:tc>
        <w:tc>
          <w:tcPr>
            <w:tcW w:w="0" w:type="auto"/>
            <w:tcBorders>
              <w:bottom w:val="single" w:sz="8" w:space="0" w:color="D9D9D9"/>
            </w:tcBorders>
            <w:shd w:val="clear" w:color="000000" w:fill="00528B"/>
            <w:vAlign w:val="bottom"/>
            <w:hideMark/>
          </w:tcPr>
          <w:p w14:paraId="3456D3DC" w14:textId="77777777" w:rsidR="00820C57" w:rsidRPr="003B2AB8" w:rsidRDefault="00820C57" w:rsidP="000B2D23">
            <w:pPr>
              <w:spacing w:after="40"/>
              <w:jc w:val="center"/>
              <w:rPr>
                <w:color w:val="FFFFFF" w:themeColor="background1"/>
                <w:sz w:val="20"/>
                <w:szCs w:val="20"/>
              </w:rPr>
            </w:pPr>
            <w:r w:rsidRPr="003B2AB8">
              <w:rPr>
                <w:color w:val="FFFFFF" w:themeColor="background1"/>
                <w:sz w:val="20"/>
                <w:szCs w:val="20"/>
              </w:rPr>
              <w:t>Form # Questions</w:t>
            </w:r>
          </w:p>
        </w:tc>
        <w:tc>
          <w:tcPr>
            <w:tcW w:w="0" w:type="auto"/>
            <w:tcBorders>
              <w:bottom w:val="single" w:sz="8" w:space="0" w:color="D9D9D9"/>
            </w:tcBorders>
            <w:shd w:val="clear" w:color="000000" w:fill="00528B"/>
            <w:vAlign w:val="bottom"/>
            <w:hideMark/>
          </w:tcPr>
          <w:p w14:paraId="020A782A" w14:textId="77777777" w:rsidR="00820C57" w:rsidRPr="003B2AB8" w:rsidRDefault="00820C57" w:rsidP="000B2D23">
            <w:pPr>
              <w:spacing w:after="40"/>
              <w:jc w:val="center"/>
              <w:rPr>
                <w:color w:val="FFFFFF" w:themeColor="background1"/>
                <w:sz w:val="20"/>
                <w:szCs w:val="20"/>
              </w:rPr>
            </w:pPr>
            <w:r w:rsidRPr="003B2AB8">
              <w:rPr>
                <w:color w:val="FFFFFF" w:themeColor="background1"/>
                <w:sz w:val="20"/>
                <w:szCs w:val="20"/>
              </w:rPr>
              <w:t>Average Items Fully Aligned to  Expectation</w:t>
            </w:r>
          </w:p>
        </w:tc>
        <w:tc>
          <w:tcPr>
            <w:tcW w:w="0" w:type="auto"/>
            <w:tcBorders>
              <w:bottom w:val="single" w:sz="8" w:space="0" w:color="D9D9D9"/>
            </w:tcBorders>
            <w:shd w:val="clear" w:color="000000" w:fill="00528B"/>
            <w:vAlign w:val="bottom"/>
            <w:hideMark/>
          </w:tcPr>
          <w:p w14:paraId="66B0A38B" w14:textId="77777777" w:rsidR="00820C57" w:rsidRPr="003B2AB8" w:rsidRDefault="00820C57" w:rsidP="000B2D23">
            <w:pPr>
              <w:spacing w:after="40"/>
              <w:jc w:val="center"/>
              <w:rPr>
                <w:color w:val="FFFFFF" w:themeColor="background1"/>
                <w:sz w:val="20"/>
                <w:szCs w:val="20"/>
              </w:rPr>
            </w:pPr>
            <w:r w:rsidRPr="003B2AB8">
              <w:rPr>
                <w:color w:val="FFFFFF" w:themeColor="background1"/>
                <w:sz w:val="20"/>
                <w:szCs w:val="20"/>
              </w:rPr>
              <w:t>Average Items Partially Aligned to Expectation</w:t>
            </w:r>
          </w:p>
        </w:tc>
        <w:tc>
          <w:tcPr>
            <w:tcW w:w="0" w:type="auto"/>
            <w:tcBorders>
              <w:bottom w:val="single" w:sz="8" w:space="0" w:color="D9D9D9"/>
            </w:tcBorders>
            <w:shd w:val="clear" w:color="000000" w:fill="00528B"/>
            <w:vAlign w:val="bottom"/>
            <w:hideMark/>
          </w:tcPr>
          <w:p w14:paraId="217F05DC" w14:textId="77777777" w:rsidR="00820C57" w:rsidRPr="003B2AB8" w:rsidRDefault="00820C57" w:rsidP="000B2D23">
            <w:pPr>
              <w:spacing w:after="40"/>
              <w:jc w:val="center"/>
              <w:rPr>
                <w:color w:val="FFFFFF" w:themeColor="background1"/>
                <w:sz w:val="20"/>
                <w:szCs w:val="20"/>
              </w:rPr>
            </w:pPr>
            <w:r w:rsidRPr="003B2AB8">
              <w:rPr>
                <w:color w:val="FFFFFF" w:themeColor="background1"/>
                <w:sz w:val="20"/>
                <w:szCs w:val="20"/>
              </w:rPr>
              <w:t>Average Items Not Aligned to Expectation</w:t>
            </w:r>
          </w:p>
        </w:tc>
      </w:tr>
      <w:tr w:rsidR="00820C57" w:rsidRPr="003B2AB8" w14:paraId="0485DAB8" w14:textId="77777777" w:rsidTr="00C533F5">
        <w:tc>
          <w:tcPr>
            <w:tcW w:w="0" w:type="auto"/>
            <w:gridSpan w:val="6"/>
            <w:shd w:val="clear" w:color="000000" w:fill="0080BA"/>
            <w:noWrap/>
            <w:vAlign w:val="center"/>
            <w:hideMark/>
          </w:tcPr>
          <w:p w14:paraId="11C3183F" w14:textId="77777777" w:rsidR="00820C57" w:rsidRPr="003B2AB8" w:rsidRDefault="00820C57" w:rsidP="000B2D23">
            <w:pPr>
              <w:jc w:val="center"/>
              <w:rPr>
                <w:color w:val="FFFFFF" w:themeColor="background1"/>
                <w:sz w:val="20"/>
                <w:szCs w:val="20"/>
              </w:rPr>
            </w:pPr>
            <w:r w:rsidRPr="003B2AB8">
              <w:rPr>
                <w:color w:val="FFFFFF" w:themeColor="background1"/>
                <w:sz w:val="20"/>
                <w:szCs w:val="20"/>
              </w:rPr>
              <w:t>Reporting Category</w:t>
            </w:r>
          </w:p>
        </w:tc>
      </w:tr>
      <w:tr w:rsidR="00820C57" w:rsidRPr="003B2AB8" w14:paraId="2EABB822" w14:textId="77777777" w:rsidTr="00C533F5">
        <w:trPr>
          <w:trHeight w:val="300"/>
        </w:trPr>
        <w:tc>
          <w:tcPr>
            <w:tcW w:w="0" w:type="auto"/>
            <w:shd w:val="clear" w:color="000000" w:fill="BFBFBF"/>
            <w:vAlign w:val="center"/>
            <w:hideMark/>
          </w:tcPr>
          <w:p w14:paraId="1E24704E" w14:textId="77777777" w:rsidR="00820C57" w:rsidRPr="003B2AB8" w:rsidRDefault="00820C57" w:rsidP="004946BF">
            <w:pPr>
              <w:rPr>
                <w:sz w:val="20"/>
                <w:szCs w:val="20"/>
              </w:rPr>
            </w:pPr>
            <w:r w:rsidRPr="003B2AB8">
              <w:rPr>
                <w:sz w:val="20"/>
                <w:szCs w:val="20"/>
              </w:rPr>
              <w:t>1: Numerical Representations and Relationships</w:t>
            </w:r>
          </w:p>
        </w:tc>
        <w:tc>
          <w:tcPr>
            <w:tcW w:w="0" w:type="auto"/>
            <w:shd w:val="clear" w:color="000000" w:fill="FFFFFF"/>
            <w:noWrap/>
            <w:vAlign w:val="center"/>
            <w:hideMark/>
          </w:tcPr>
          <w:p w14:paraId="76F5214C" w14:textId="77777777" w:rsidR="00820C57" w:rsidRPr="003B2AB8" w:rsidRDefault="00820C57" w:rsidP="00820C57">
            <w:pPr>
              <w:jc w:val="center"/>
              <w:rPr>
                <w:sz w:val="20"/>
                <w:szCs w:val="20"/>
              </w:rPr>
            </w:pPr>
            <w:r w:rsidRPr="003B2AB8">
              <w:rPr>
                <w:sz w:val="20"/>
                <w:szCs w:val="20"/>
              </w:rPr>
              <w:t>5</w:t>
            </w:r>
          </w:p>
        </w:tc>
        <w:tc>
          <w:tcPr>
            <w:tcW w:w="0" w:type="auto"/>
            <w:shd w:val="clear" w:color="000000" w:fill="FFFFFF"/>
            <w:noWrap/>
            <w:vAlign w:val="center"/>
            <w:hideMark/>
          </w:tcPr>
          <w:p w14:paraId="350B4CF5" w14:textId="77777777" w:rsidR="00820C57" w:rsidRPr="003B2AB8" w:rsidRDefault="00820C57" w:rsidP="00820C57">
            <w:pPr>
              <w:jc w:val="center"/>
              <w:rPr>
                <w:sz w:val="20"/>
                <w:szCs w:val="20"/>
              </w:rPr>
            </w:pPr>
            <w:r w:rsidRPr="003B2AB8">
              <w:rPr>
                <w:sz w:val="20"/>
                <w:szCs w:val="20"/>
              </w:rPr>
              <w:t>5</w:t>
            </w:r>
          </w:p>
        </w:tc>
        <w:tc>
          <w:tcPr>
            <w:tcW w:w="0" w:type="auto"/>
            <w:shd w:val="clear" w:color="000000" w:fill="FFFFFF"/>
            <w:noWrap/>
            <w:vAlign w:val="center"/>
            <w:hideMark/>
          </w:tcPr>
          <w:p w14:paraId="0D941FA9" w14:textId="77777777" w:rsidR="00820C57" w:rsidRPr="003B2AB8" w:rsidRDefault="00820C57" w:rsidP="004946BF">
            <w:pPr>
              <w:jc w:val="center"/>
              <w:rPr>
                <w:sz w:val="20"/>
                <w:szCs w:val="20"/>
              </w:rPr>
            </w:pPr>
            <w:r w:rsidRPr="003B2AB8">
              <w:rPr>
                <w:sz w:val="20"/>
                <w:szCs w:val="20"/>
              </w:rPr>
              <w:t>100.0%</w:t>
            </w:r>
          </w:p>
        </w:tc>
        <w:tc>
          <w:tcPr>
            <w:tcW w:w="0" w:type="auto"/>
            <w:shd w:val="clear" w:color="000000" w:fill="FFFFFF"/>
            <w:noWrap/>
            <w:vAlign w:val="center"/>
            <w:hideMark/>
          </w:tcPr>
          <w:p w14:paraId="068F42E8" w14:textId="77777777" w:rsidR="00820C57" w:rsidRPr="003B2AB8" w:rsidRDefault="00820C57" w:rsidP="004946BF">
            <w:pPr>
              <w:jc w:val="center"/>
              <w:rPr>
                <w:sz w:val="20"/>
                <w:szCs w:val="20"/>
              </w:rPr>
            </w:pPr>
            <w:r w:rsidRPr="003B2AB8">
              <w:rPr>
                <w:sz w:val="20"/>
                <w:szCs w:val="20"/>
              </w:rPr>
              <w:t>0.0%</w:t>
            </w:r>
          </w:p>
        </w:tc>
        <w:tc>
          <w:tcPr>
            <w:tcW w:w="0" w:type="auto"/>
            <w:shd w:val="clear" w:color="000000" w:fill="FFFFFF"/>
            <w:noWrap/>
            <w:vAlign w:val="center"/>
            <w:hideMark/>
          </w:tcPr>
          <w:p w14:paraId="41066DB6" w14:textId="77777777" w:rsidR="00820C57" w:rsidRPr="003B2AB8" w:rsidRDefault="00820C57" w:rsidP="004946BF">
            <w:pPr>
              <w:jc w:val="center"/>
              <w:rPr>
                <w:sz w:val="20"/>
                <w:szCs w:val="20"/>
              </w:rPr>
            </w:pPr>
            <w:r w:rsidRPr="003B2AB8">
              <w:rPr>
                <w:sz w:val="20"/>
                <w:szCs w:val="20"/>
              </w:rPr>
              <w:t>0.0%</w:t>
            </w:r>
          </w:p>
        </w:tc>
      </w:tr>
      <w:tr w:rsidR="00820C57" w:rsidRPr="003B2AB8" w14:paraId="29ED8680" w14:textId="77777777" w:rsidTr="00C533F5">
        <w:trPr>
          <w:trHeight w:val="570"/>
        </w:trPr>
        <w:tc>
          <w:tcPr>
            <w:tcW w:w="0" w:type="auto"/>
            <w:shd w:val="clear" w:color="000000" w:fill="BFBFBF"/>
            <w:vAlign w:val="center"/>
            <w:hideMark/>
          </w:tcPr>
          <w:p w14:paraId="0CC3C21A" w14:textId="77777777" w:rsidR="00820C57" w:rsidRPr="003B2AB8" w:rsidRDefault="00820C57" w:rsidP="004946BF">
            <w:pPr>
              <w:rPr>
                <w:sz w:val="20"/>
                <w:szCs w:val="20"/>
              </w:rPr>
            </w:pPr>
            <w:r w:rsidRPr="003B2AB8">
              <w:rPr>
                <w:sz w:val="20"/>
                <w:szCs w:val="20"/>
              </w:rPr>
              <w:t>2: Computations and Algebraic Relationships</w:t>
            </w:r>
          </w:p>
        </w:tc>
        <w:tc>
          <w:tcPr>
            <w:tcW w:w="0" w:type="auto"/>
            <w:shd w:val="clear" w:color="000000" w:fill="FFFFFF"/>
            <w:noWrap/>
            <w:vAlign w:val="center"/>
            <w:hideMark/>
          </w:tcPr>
          <w:p w14:paraId="4CFA1970" w14:textId="77777777" w:rsidR="00820C57" w:rsidRPr="003B2AB8" w:rsidRDefault="00820C57" w:rsidP="00820C57">
            <w:pPr>
              <w:jc w:val="center"/>
              <w:rPr>
                <w:sz w:val="20"/>
                <w:szCs w:val="20"/>
              </w:rPr>
            </w:pPr>
            <w:r w:rsidRPr="003B2AB8">
              <w:rPr>
                <w:sz w:val="20"/>
                <w:szCs w:val="20"/>
              </w:rPr>
              <w:t>22</w:t>
            </w:r>
          </w:p>
        </w:tc>
        <w:tc>
          <w:tcPr>
            <w:tcW w:w="0" w:type="auto"/>
            <w:shd w:val="clear" w:color="000000" w:fill="FFFFFF"/>
            <w:noWrap/>
            <w:vAlign w:val="center"/>
            <w:hideMark/>
          </w:tcPr>
          <w:p w14:paraId="31AECE28" w14:textId="77777777" w:rsidR="00820C57" w:rsidRPr="003B2AB8" w:rsidRDefault="00820C57" w:rsidP="00820C57">
            <w:pPr>
              <w:jc w:val="center"/>
              <w:rPr>
                <w:sz w:val="20"/>
                <w:szCs w:val="20"/>
              </w:rPr>
            </w:pPr>
            <w:r w:rsidRPr="003B2AB8">
              <w:rPr>
                <w:sz w:val="20"/>
                <w:szCs w:val="20"/>
              </w:rPr>
              <w:t>22</w:t>
            </w:r>
          </w:p>
        </w:tc>
        <w:tc>
          <w:tcPr>
            <w:tcW w:w="0" w:type="auto"/>
            <w:shd w:val="clear" w:color="000000" w:fill="FFFFFF"/>
            <w:noWrap/>
            <w:vAlign w:val="center"/>
            <w:hideMark/>
          </w:tcPr>
          <w:p w14:paraId="1A27A0A9" w14:textId="77777777" w:rsidR="00820C57" w:rsidRPr="003B2AB8" w:rsidRDefault="00820C57" w:rsidP="004946BF">
            <w:pPr>
              <w:jc w:val="center"/>
              <w:rPr>
                <w:sz w:val="20"/>
                <w:szCs w:val="20"/>
              </w:rPr>
            </w:pPr>
            <w:r w:rsidRPr="003B2AB8">
              <w:rPr>
                <w:sz w:val="20"/>
                <w:szCs w:val="20"/>
              </w:rPr>
              <w:t>97.7%</w:t>
            </w:r>
          </w:p>
        </w:tc>
        <w:tc>
          <w:tcPr>
            <w:tcW w:w="0" w:type="auto"/>
            <w:shd w:val="clear" w:color="000000" w:fill="FFFFFF"/>
            <w:noWrap/>
            <w:vAlign w:val="center"/>
            <w:hideMark/>
          </w:tcPr>
          <w:p w14:paraId="7D4B3BD9" w14:textId="77777777" w:rsidR="00820C57" w:rsidRPr="003B2AB8" w:rsidRDefault="00820C57" w:rsidP="004946BF">
            <w:pPr>
              <w:jc w:val="center"/>
              <w:rPr>
                <w:sz w:val="20"/>
                <w:szCs w:val="20"/>
              </w:rPr>
            </w:pPr>
            <w:r w:rsidRPr="003B2AB8">
              <w:rPr>
                <w:sz w:val="20"/>
                <w:szCs w:val="20"/>
              </w:rPr>
              <w:t>1.1%</w:t>
            </w:r>
          </w:p>
        </w:tc>
        <w:tc>
          <w:tcPr>
            <w:tcW w:w="0" w:type="auto"/>
            <w:shd w:val="clear" w:color="000000" w:fill="FFFFFF"/>
            <w:noWrap/>
            <w:vAlign w:val="center"/>
            <w:hideMark/>
          </w:tcPr>
          <w:p w14:paraId="4A43E679" w14:textId="77777777" w:rsidR="00820C57" w:rsidRPr="003B2AB8" w:rsidRDefault="00820C57" w:rsidP="004946BF">
            <w:pPr>
              <w:jc w:val="center"/>
              <w:rPr>
                <w:sz w:val="20"/>
                <w:szCs w:val="20"/>
              </w:rPr>
            </w:pPr>
            <w:r w:rsidRPr="003B2AB8">
              <w:rPr>
                <w:sz w:val="20"/>
                <w:szCs w:val="20"/>
              </w:rPr>
              <w:t>1.1%</w:t>
            </w:r>
          </w:p>
        </w:tc>
      </w:tr>
      <w:tr w:rsidR="00820C57" w:rsidRPr="003B2AB8" w14:paraId="4340B686" w14:textId="77777777" w:rsidTr="00C533F5">
        <w:trPr>
          <w:trHeight w:val="570"/>
        </w:trPr>
        <w:tc>
          <w:tcPr>
            <w:tcW w:w="0" w:type="auto"/>
            <w:shd w:val="clear" w:color="000000" w:fill="BFBFBF"/>
            <w:vAlign w:val="center"/>
            <w:hideMark/>
          </w:tcPr>
          <w:p w14:paraId="184DAE79" w14:textId="77777777" w:rsidR="00820C57" w:rsidRPr="003B2AB8" w:rsidRDefault="00820C57" w:rsidP="004946BF">
            <w:pPr>
              <w:rPr>
                <w:sz w:val="20"/>
                <w:szCs w:val="20"/>
              </w:rPr>
            </w:pPr>
            <w:r w:rsidRPr="003B2AB8">
              <w:rPr>
                <w:sz w:val="20"/>
                <w:szCs w:val="20"/>
              </w:rPr>
              <w:t>3: Geometry and Measurement</w:t>
            </w:r>
          </w:p>
        </w:tc>
        <w:tc>
          <w:tcPr>
            <w:tcW w:w="0" w:type="auto"/>
            <w:shd w:val="clear" w:color="000000" w:fill="FFFFFF"/>
            <w:noWrap/>
            <w:vAlign w:val="center"/>
            <w:hideMark/>
          </w:tcPr>
          <w:p w14:paraId="772B26DA" w14:textId="77777777" w:rsidR="00820C57" w:rsidRPr="003B2AB8" w:rsidRDefault="00820C57" w:rsidP="00820C57">
            <w:pPr>
              <w:jc w:val="center"/>
              <w:rPr>
                <w:sz w:val="20"/>
                <w:szCs w:val="20"/>
              </w:rPr>
            </w:pPr>
            <w:r w:rsidRPr="003B2AB8">
              <w:rPr>
                <w:sz w:val="20"/>
                <w:szCs w:val="20"/>
              </w:rPr>
              <w:t>20</w:t>
            </w:r>
          </w:p>
        </w:tc>
        <w:tc>
          <w:tcPr>
            <w:tcW w:w="0" w:type="auto"/>
            <w:shd w:val="clear" w:color="000000" w:fill="FFFFFF"/>
            <w:noWrap/>
            <w:vAlign w:val="center"/>
            <w:hideMark/>
          </w:tcPr>
          <w:p w14:paraId="4D7E83AA" w14:textId="77777777" w:rsidR="00820C57" w:rsidRPr="003B2AB8" w:rsidRDefault="00820C57" w:rsidP="00820C57">
            <w:pPr>
              <w:jc w:val="center"/>
              <w:rPr>
                <w:sz w:val="20"/>
                <w:szCs w:val="20"/>
              </w:rPr>
            </w:pPr>
            <w:r w:rsidRPr="003B2AB8">
              <w:rPr>
                <w:sz w:val="20"/>
                <w:szCs w:val="20"/>
              </w:rPr>
              <w:t>20</w:t>
            </w:r>
          </w:p>
        </w:tc>
        <w:tc>
          <w:tcPr>
            <w:tcW w:w="0" w:type="auto"/>
            <w:shd w:val="clear" w:color="000000" w:fill="FFFFFF"/>
            <w:noWrap/>
            <w:vAlign w:val="center"/>
            <w:hideMark/>
          </w:tcPr>
          <w:p w14:paraId="098DDE03" w14:textId="77777777" w:rsidR="00820C57" w:rsidRPr="003B2AB8" w:rsidRDefault="00820C57" w:rsidP="004946BF">
            <w:pPr>
              <w:jc w:val="center"/>
              <w:rPr>
                <w:sz w:val="20"/>
                <w:szCs w:val="20"/>
              </w:rPr>
            </w:pPr>
            <w:r w:rsidRPr="003B2AB8">
              <w:rPr>
                <w:sz w:val="20"/>
                <w:szCs w:val="20"/>
              </w:rPr>
              <w:t>96.3%</w:t>
            </w:r>
          </w:p>
        </w:tc>
        <w:tc>
          <w:tcPr>
            <w:tcW w:w="0" w:type="auto"/>
            <w:shd w:val="clear" w:color="000000" w:fill="FFFFFF"/>
            <w:noWrap/>
            <w:vAlign w:val="center"/>
            <w:hideMark/>
          </w:tcPr>
          <w:p w14:paraId="228AD6FC" w14:textId="77777777" w:rsidR="00820C57" w:rsidRPr="003B2AB8" w:rsidRDefault="00820C57" w:rsidP="004946BF">
            <w:pPr>
              <w:jc w:val="center"/>
              <w:rPr>
                <w:sz w:val="20"/>
                <w:szCs w:val="20"/>
              </w:rPr>
            </w:pPr>
            <w:r w:rsidRPr="003B2AB8">
              <w:rPr>
                <w:sz w:val="20"/>
                <w:szCs w:val="20"/>
              </w:rPr>
              <w:t>1.3%</w:t>
            </w:r>
          </w:p>
        </w:tc>
        <w:tc>
          <w:tcPr>
            <w:tcW w:w="0" w:type="auto"/>
            <w:shd w:val="clear" w:color="000000" w:fill="FFFFFF"/>
            <w:noWrap/>
            <w:vAlign w:val="center"/>
            <w:hideMark/>
          </w:tcPr>
          <w:p w14:paraId="4366365F" w14:textId="77777777" w:rsidR="00820C57" w:rsidRPr="003B2AB8" w:rsidRDefault="00820C57" w:rsidP="004946BF">
            <w:pPr>
              <w:jc w:val="center"/>
              <w:rPr>
                <w:sz w:val="20"/>
                <w:szCs w:val="20"/>
              </w:rPr>
            </w:pPr>
            <w:r w:rsidRPr="003B2AB8">
              <w:rPr>
                <w:sz w:val="20"/>
                <w:szCs w:val="20"/>
              </w:rPr>
              <w:t>2.5%</w:t>
            </w:r>
          </w:p>
        </w:tc>
      </w:tr>
      <w:tr w:rsidR="00820C57" w:rsidRPr="003B2AB8" w14:paraId="6DB0356D" w14:textId="77777777" w:rsidTr="00C533F5">
        <w:trPr>
          <w:trHeight w:val="570"/>
        </w:trPr>
        <w:tc>
          <w:tcPr>
            <w:tcW w:w="0" w:type="auto"/>
            <w:tcBorders>
              <w:bottom w:val="single" w:sz="8" w:space="0" w:color="D9D9D9"/>
            </w:tcBorders>
            <w:shd w:val="clear" w:color="000000" w:fill="BFBFBF"/>
            <w:vAlign w:val="center"/>
            <w:hideMark/>
          </w:tcPr>
          <w:p w14:paraId="24A70E9E" w14:textId="77777777" w:rsidR="00820C57" w:rsidRPr="003B2AB8" w:rsidRDefault="00820C57" w:rsidP="004946BF">
            <w:pPr>
              <w:rPr>
                <w:sz w:val="20"/>
                <w:szCs w:val="20"/>
              </w:rPr>
            </w:pPr>
            <w:r w:rsidRPr="003B2AB8">
              <w:rPr>
                <w:sz w:val="20"/>
                <w:szCs w:val="20"/>
              </w:rPr>
              <w:t>4: Data Analysis and Personal Finance Literacy</w:t>
            </w:r>
          </w:p>
        </w:tc>
        <w:tc>
          <w:tcPr>
            <w:tcW w:w="0" w:type="auto"/>
            <w:tcBorders>
              <w:bottom w:val="single" w:sz="8" w:space="0" w:color="D9D9D9"/>
            </w:tcBorders>
            <w:shd w:val="clear" w:color="000000" w:fill="FFFFFF"/>
            <w:noWrap/>
            <w:vAlign w:val="center"/>
            <w:hideMark/>
          </w:tcPr>
          <w:p w14:paraId="37E8985E" w14:textId="77777777" w:rsidR="00820C57" w:rsidRPr="003B2AB8" w:rsidRDefault="00820C57" w:rsidP="00820C57">
            <w:pPr>
              <w:jc w:val="center"/>
              <w:rPr>
                <w:sz w:val="20"/>
                <w:szCs w:val="20"/>
              </w:rPr>
            </w:pPr>
            <w:r w:rsidRPr="003B2AB8">
              <w:rPr>
                <w:sz w:val="20"/>
                <w:szCs w:val="20"/>
              </w:rPr>
              <w:t>9</w:t>
            </w:r>
          </w:p>
        </w:tc>
        <w:tc>
          <w:tcPr>
            <w:tcW w:w="0" w:type="auto"/>
            <w:tcBorders>
              <w:bottom w:val="single" w:sz="8" w:space="0" w:color="D9D9D9"/>
            </w:tcBorders>
            <w:shd w:val="clear" w:color="000000" w:fill="FFFFFF"/>
            <w:noWrap/>
            <w:vAlign w:val="center"/>
            <w:hideMark/>
          </w:tcPr>
          <w:p w14:paraId="712A273C" w14:textId="77777777" w:rsidR="00820C57" w:rsidRPr="003B2AB8" w:rsidRDefault="00820C57" w:rsidP="00820C57">
            <w:pPr>
              <w:jc w:val="center"/>
              <w:rPr>
                <w:sz w:val="20"/>
                <w:szCs w:val="20"/>
              </w:rPr>
            </w:pPr>
            <w:r w:rsidRPr="003B2AB8">
              <w:rPr>
                <w:sz w:val="20"/>
                <w:szCs w:val="20"/>
              </w:rPr>
              <w:t>9</w:t>
            </w:r>
          </w:p>
        </w:tc>
        <w:tc>
          <w:tcPr>
            <w:tcW w:w="0" w:type="auto"/>
            <w:tcBorders>
              <w:bottom w:val="single" w:sz="8" w:space="0" w:color="D9D9D9"/>
            </w:tcBorders>
            <w:shd w:val="clear" w:color="000000" w:fill="FFFFFF"/>
            <w:noWrap/>
            <w:vAlign w:val="center"/>
            <w:hideMark/>
          </w:tcPr>
          <w:p w14:paraId="793027DF" w14:textId="77777777" w:rsidR="00820C57" w:rsidRPr="003B2AB8" w:rsidRDefault="00820C57" w:rsidP="004946BF">
            <w:pPr>
              <w:jc w:val="center"/>
              <w:rPr>
                <w:sz w:val="20"/>
                <w:szCs w:val="20"/>
              </w:rPr>
            </w:pPr>
            <w:r w:rsidRPr="003B2AB8">
              <w:rPr>
                <w:sz w:val="20"/>
                <w:szCs w:val="20"/>
              </w:rPr>
              <w:t>100.0%</w:t>
            </w:r>
          </w:p>
        </w:tc>
        <w:tc>
          <w:tcPr>
            <w:tcW w:w="0" w:type="auto"/>
            <w:tcBorders>
              <w:bottom w:val="single" w:sz="8" w:space="0" w:color="D9D9D9"/>
            </w:tcBorders>
            <w:shd w:val="clear" w:color="000000" w:fill="FFFFFF"/>
            <w:noWrap/>
            <w:vAlign w:val="center"/>
            <w:hideMark/>
          </w:tcPr>
          <w:p w14:paraId="4776989D" w14:textId="77777777" w:rsidR="00820C57" w:rsidRPr="003B2AB8" w:rsidRDefault="00820C57" w:rsidP="004946BF">
            <w:pPr>
              <w:jc w:val="center"/>
              <w:rPr>
                <w:sz w:val="20"/>
                <w:szCs w:val="20"/>
              </w:rPr>
            </w:pPr>
            <w:r w:rsidRPr="003B2AB8">
              <w:rPr>
                <w:sz w:val="20"/>
                <w:szCs w:val="20"/>
              </w:rPr>
              <w:t>0.0%</w:t>
            </w:r>
          </w:p>
        </w:tc>
        <w:tc>
          <w:tcPr>
            <w:tcW w:w="0" w:type="auto"/>
            <w:tcBorders>
              <w:bottom w:val="single" w:sz="8" w:space="0" w:color="D9D9D9"/>
            </w:tcBorders>
            <w:shd w:val="clear" w:color="000000" w:fill="FFFFFF"/>
            <w:noWrap/>
            <w:vAlign w:val="center"/>
            <w:hideMark/>
          </w:tcPr>
          <w:p w14:paraId="2BC98997" w14:textId="77777777" w:rsidR="00820C57" w:rsidRPr="003B2AB8" w:rsidRDefault="00820C57" w:rsidP="004946BF">
            <w:pPr>
              <w:jc w:val="center"/>
              <w:rPr>
                <w:sz w:val="20"/>
                <w:szCs w:val="20"/>
              </w:rPr>
            </w:pPr>
            <w:r w:rsidRPr="003B2AB8">
              <w:rPr>
                <w:sz w:val="20"/>
                <w:szCs w:val="20"/>
              </w:rPr>
              <w:t>0.0%</w:t>
            </w:r>
          </w:p>
        </w:tc>
      </w:tr>
      <w:tr w:rsidR="000B2D23" w:rsidRPr="003B2AB8" w14:paraId="105C4EB0" w14:textId="77777777" w:rsidTr="00C533F5">
        <w:tc>
          <w:tcPr>
            <w:tcW w:w="0" w:type="auto"/>
            <w:gridSpan w:val="6"/>
            <w:shd w:val="clear" w:color="000000" w:fill="0080BA"/>
            <w:vAlign w:val="center"/>
            <w:hideMark/>
          </w:tcPr>
          <w:p w14:paraId="1BFE930E" w14:textId="77777777" w:rsidR="00820C57" w:rsidRPr="003B2AB8" w:rsidRDefault="00820C57" w:rsidP="000B2D23">
            <w:pPr>
              <w:jc w:val="center"/>
              <w:rPr>
                <w:color w:val="FFFFFF" w:themeColor="background1"/>
                <w:sz w:val="20"/>
                <w:szCs w:val="20"/>
              </w:rPr>
            </w:pPr>
            <w:r w:rsidRPr="003B2AB8">
              <w:rPr>
                <w:color w:val="FFFFFF" w:themeColor="background1"/>
                <w:sz w:val="20"/>
                <w:szCs w:val="20"/>
              </w:rPr>
              <w:t>Standard Type</w:t>
            </w:r>
          </w:p>
        </w:tc>
      </w:tr>
      <w:tr w:rsidR="00820C57" w:rsidRPr="003B2AB8" w14:paraId="282CFECA" w14:textId="77777777" w:rsidTr="00C533F5">
        <w:trPr>
          <w:trHeight w:val="285"/>
        </w:trPr>
        <w:tc>
          <w:tcPr>
            <w:tcW w:w="0" w:type="auto"/>
            <w:shd w:val="clear" w:color="000000" w:fill="BFBFBF"/>
            <w:vAlign w:val="center"/>
            <w:hideMark/>
          </w:tcPr>
          <w:p w14:paraId="40437E2B" w14:textId="77777777" w:rsidR="00820C57" w:rsidRPr="003B2AB8" w:rsidRDefault="00820C57" w:rsidP="004946BF">
            <w:pPr>
              <w:rPr>
                <w:sz w:val="20"/>
                <w:szCs w:val="20"/>
              </w:rPr>
            </w:pPr>
            <w:r w:rsidRPr="003B2AB8">
              <w:rPr>
                <w:sz w:val="20"/>
                <w:szCs w:val="20"/>
              </w:rPr>
              <w:t>Readiness Standards</w:t>
            </w:r>
          </w:p>
        </w:tc>
        <w:tc>
          <w:tcPr>
            <w:tcW w:w="0" w:type="auto"/>
            <w:shd w:val="clear" w:color="000000" w:fill="FFFFFF"/>
            <w:noWrap/>
            <w:vAlign w:val="center"/>
            <w:hideMark/>
          </w:tcPr>
          <w:p w14:paraId="784C155A" w14:textId="77777777" w:rsidR="00820C57" w:rsidRPr="003B2AB8" w:rsidRDefault="00820C57" w:rsidP="004946BF">
            <w:pPr>
              <w:jc w:val="center"/>
              <w:rPr>
                <w:sz w:val="20"/>
                <w:szCs w:val="20"/>
              </w:rPr>
            </w:pPr>
            <w:r w:rsidRPr="003B2AB8">
              <w:rPr>
                <w:sz w:val="20"/>
                <w:szCs w:val="20"/>
              </w:rPr>
              <w:t>34-36</w:t>
            </w:r>
          </w:p>
        </w:tc>
        <w:tc>
          <w:tcPr>
            <w:tcW w:w="0" w:type="auto"/>
            <w:shd w:val="clear" w:color="000000" w:fill="FFFFFF"/>
            <w:noWrap/>
            <w:vAlign w:val="center"/>
            <w:hideMark/>
          </w:tcPr>
          <w:p w14:paraId="19DC26D1" w14:textId="77777777" w:rsidR="00820C57" w:rsidRPr="003B2AB8" w:rsidRDefault="00820C57" w:rsidP="004946BF">
            <w:pPr>
              <w:jc w:val="center"/>
              <w:rPr>
                <w:sz w:val="20"/>
                <w:szCs w:val="20"/>
              </w:rPr>
            </w:pPr>
            <w:r w:rsidRPr="003B2AB8">
              <w:rPr>
                <w:sz w:val="20"/>
                <w:szCs w:val="20"/>
              </w:rPr>
              <w:t>36</w:t>
            </w:r>
          </w:p>
        </w:tc>
        <w:tc>
          <w:tcPr>
            <w:tcW w:w="0" w:type="auto"/>
            <w:shd w:val="clear" w:color="000000" w:fill="FFFFFF"/>
            <w:noWrap/>
            <w:vAlign w:val="center"/>
            <w:hideMark/>
          </w:tcPr>
          <w:p w14:paraId="2DC9E2FD" w14:textId="77777777" w:rsidR="00820C57" w:rsidRPr="003B2AB8" w:rsidRDefault="00820C57" w:rsidP="004946BF">
            <w:pPr>
              <w:jc w:val="center"/>
              <w:rPr>
                <w:sz w:val="20"/>
                <w:szCs w:val="20"/>
              </w:rPr>
            </w:pPr>
            <w:r w:rsidRPr="003B2AB8">
              <w:rPr>
                <w:sz w:val="20"/>
                <w:szCs w:val="20"/>
              </w:rPr>
              <w:t>97.9%</w:t>
            </w:r>
          </w:p>
        </w:tc>
        <w:tc>
          <w:tcPr>
            <w:tcW w:w="0" w:type="auto"/>
            <w:shd w:val="clear" w:color="000000" w:fill="FFFFFF"/>
            <w:noWrap/>
            <w:vAlign w:val="center"/>
            <w:hideMark/>
          </w:tcPr>
          <w:p w14:paraId="3515CD31" w14:textId="77777777" w:rsidR="00820C57" w:rsidRPr="003B2AB8" w:rsidRDefault="00820C57" w:rsidP="004946BF">
            <w:pPr>
              <w:jc w:val="center"/>
              <w:rPr>
                <w:sz w:val="20"/>
                <w:szCs w:val="20"/>
              </w:rPr>
            </w:pPr>
            <w:r w:rsidRPr="003B2AB8">
              <w:rPr>
                <w:sz w:val="20"/>
                <w:szCs w:val="20"/>
              </w:rPr>
              <w:t>0.7%</w:t>
            </w:r>
          </w:p>
        </w:tc>
        <w:tc>
          <w:tcPr>
            <w:tcW w:w="0" w:type="auto"/>
            <w:shd w:val="clear" w:color="000000" w:fill="FFFFFF"/>
            <w:noWrap/>
            <w:vAlign w:val="center"/>
            <w:hideMark/>
          </w:tcPr>
          <w:p w14:paraId="206D9D01" w14:textId="77777777" w:rsidR="00820C57" w:rsidRPr="003B2AB8" w:rsidRDefault="00820C57" w:rsidP="004946BF">
            <w:pPr>
              <w:jc w:val="center"/>
              <w:rPr>
                <w:sz w:val="20"/>
                <w:szCs w:val="20"/>
              </w:rPr>
            </w:pPr>
            <w:r w:rsidRPr="003B2AB8">
              <w:rPr>
                <w:sz w:val="20"/>
                <w:szCs w:val="20"/>
              </w:rPr>
              <w:t>1.4%</w:t>
            </w:r>
          </w:p>
        </w:tc>
      </w:tr>
      <w:tr w:rsidR="00820C57" w:rsidRPr="003B2AB8" w14:paraId="37F6165C" w14:textId="77777777" w:rsidTr="00C533F5">
        <w:trPr>
          <w:trHeight w:val="285"/>
        </w:trPr>
        <w:tc>
          <w:tcPr>
            <w:tcW w:w="0" w:type="auto"/>
            <w:tcBorders>
              <w:bottom w:val="single" w:sz="8" w:space="0" w:color="D9D9D9"/>
            </w:tcBorders>
            <w:shd w:val="clear" w:color="000000" w:fill="BFBFBF"/>
            <w:vAlign w:val="center"/>
            <w:hideMark/>
          </w:tcPr>
          <w:p w14:paraId="61375389" w14:textId="77777777" w:rsidR="00820C57" w:rsidRPr="003B2AB8" w:rsidRDefault="00820C57" w:rsidP="004946BF">
            <w:pPr>
              <w:rPr>
                <w:sz w:val="20"/>
                <w:szCs w:val="20"/>
              </w:rPr>
            </w:pPr>
            <w:r w:rsidRPr="003B2AB8">
              <w:rPr>
                <w:sz w:val="20"/>
                <w:szCs w:val="20"/>
              </w:rPr>
              <w:t>Supporting Standards</w:t>
            </w:r>
          </w:p>
        </w:tc>
        <w:tc>
          <w:tcPr>
            <w:tcW w:w="0" w:type="auto"/>
            <w:tcBorders>
              <w:bottom w:val="single" w:sz="8" w:space="0" w:color="D9D9D9"/>
            </w:tcBorders>
            <w:shd w:val="clear" w:color="000000" w:fill="FFFFFF"/>
            <w:noWrap/>
            <w:vAlign w:val="center"/>
            <w:hideMark/>
          </w:tcPr>
          <w:p w14:paraId="228CABE7" w14:textId="77777777" w:rsidR="00820C57" w:rsidRPr="003B2AB8" w:rsidRDefault="00820C57" w:rsidP="004946BF">
            <w:pPr>
              <w:jc w:val="center"/>
              <w:rPr>
                <w:sz w:val="20"/>
                <w:szCs w:val="20"/>
              </w:rPr>
            </w:pPr>
            <w:r w:rsidRPr="003B2AB8">
              <w:rPr>
                <w:sz w:val="20"/>
                <w:szCs w:val="20"/>
              </w:rPr>
              <w:t>20-22</w:t>
            </w:r>
          </w:p>
        </w:tc>
        <w:tc>
          <w:tcPr>
            <w:tcW w:w="0" w:type="auto"/>
            <w:tcBorders>
              <w:bottom w:val="single" w:sz="8" w:space="0" w:color="D9D9D9"/>
            </w:tcBorders>
            <w:shd w:val="clear" w:color="000000" w:fill="FFFFFF"/>
            <w:noWrap/>
            <w:vAlign w:val="center"/>
            <w:hideMark/>
          </w:tcPr>
          <w:p w14:paraId="09AB7D6F" w14:textId="77777777" w:rsidR="00820C57" w:rsidRPr="003B2AB8" w:rsidRDefault="00820C57" w:rsidP="004946BF">
            <w:pPr>
              <w:jc w:val="center"/>
              <w:rPr>
                <w:sz w:val="20"/>
                <w:szCs w:val="20"/>
              </w:rPr>
            </w:pPr>
            <w:r w:rsidRPr="003B2AB8">
              <w:rPr>
                <w:sz w:val="20"/>
                <w:szCs w:val="20"/>
              </w:rPr>
              <w:t>20</w:t>
            </w:r>
          </w:p>
        </w:tc>
        <w:tc>
          <w:tcPr>
            <w:tcW w:w="0" w:type="auto"/>
            <w:tcBorders>
              <w:bottom w:val="single" w:sz="8" w:space="0" w:color="D9D9D9"/>
            </w:tcBorders>
            <w:shd w:val="clear" w:color="000000" w:fill="FFFFFF"/>
            <w:noWrap/>
            <w:vAlign w:val="center"/>
            <w:hideMark/>
          </w:tcPr>
          <w:p w14:paraId="12F7CDDD" w14:textId="77777777" w:rsidR="00820C57" w:rsidRPr="003B2AB8" w:rsidRDefault="00820C57" w:rsidP="004946BF">
            <w:pPr>
              <w:jc w:val="center"/>
              <w:rPr>
                <w:sz w:val="20"/>
                <w:szCs w:val="20"/>
              </w:rPr>
            </w:pPr>
            <w:r w:rsidRPr="003B2AB8">
              <w:rPr>
                <w:sz w:val="20"/>
                <w:szCs w:val="20"/>
              </w:rPr>
              <w:t>97.5%</w:t>
            </w:r>
          </w:p>
        </w:tc>
        <w:tc>
          <w:tcPr>
            <w:tcW w:w="0" w:type="auto"/>
            <w:tcBorders>
              <w:bottom w:val="single" w:sz="8" w:space="0" w:color="D9D9D9"/>
            </w:tcBorders>
            <w:shd w:val="clear" w:color="000000" w:fill="FFFFFF"/>
            <w:noWrap/>
            <w:vAlign w:val="center"/>
            <w:hideMark/>
          </w:tcPr>
          <w:p w14:paraId="47A15626" w14:textId="77777777" w:rsidR="00820C57" w:rsidRPr="003B2AB8" w:rsidRDefault="00820C57" w:rsidP="004946BF">
            <w:pPr>
              <w:jc w:val="center"/>
              <w:rPr>
                <w:sz w:val="20"/>
                <w:szCs w:val="20"/>
              </w:rPr>
            </w:pPr>
            <w:r w:rsidRPr="003B2AB8">
              <w:rPr>
                <w:sz w:val="20"/>
                <w:szCs w:val="20"/>
              </w:rPr>
              <w:t>1.3%</w:t>
            </w:r>
          </w:p>
        </w:tc>
        <w:tc>
          <w:tcPr>
            <w:tcW w:w="0" w:type="auto"/>
            <w:tcBorders>
              <w:bottom w:val="single" w:sz="8" w:space="0" w:color="D9D9D9"/>
            </w:tcBorders>
            <w:shd w:val="clear" w:color="000000" w:fill="FFFFFF"/>
            <w:noWrap/>
            <w:vAlign w:val="center"/>
            <w:hideMark/>
          </w:tcPr>
          <w:p w14:paraId="1372D8DB" w14:textId="77777777" w:rsidR="00820C57" w:rsidRPr="003B2AB8" w:rsidRDefault="00820C57" w:rsidP="004946BF">
            <w:pPr>
              <w:jc w:val="center"/>
              <w:rPr>
                <w:sz w:val="20"/>
                <w:szCs w:val="20"/>
              </w:rPr>
            </w:pPr>
            <w:r w:rsidRPr="003B2AB8">
              <w:rPr>
                <w:sz w:val="20"/>
                <w:szCs w:val="20"/>
              </w:rPr>
              <w:t>1.3%</w:t>
            </w:r>
          </w:p>
        </w:tc>
      </w:tr>
      <w:tr w:rsidR="000B2D23" w:rsidRPr="003B2AB8" w14:paraId="7176ACFB" w14:textId="77777777" w:rsidTr="00C533F5">
        <w:tc>
          <w:tcPr>
            <w:tcW w:w="0" w:type="auto"/>
            <w:gridSpan w:val="6"/>
            <w:shd w:val="clear" w:color="000000" w:fill="0080BA"/>
            <w:vAlign w:val="center"/>
            <w:hideMark/>
          </w:tcPr>
          <w:p w14:paraId="76C4A83A" w14:textId="77777777" w:rsidR="00820C57" w:rsidRPr="003B2AB8" w:rsidRDefault="00820C57" w:rsidP="000B2D23">
            <w:pPr>
              <w:jc w:val="center"/>
              <w:rPr>
                <w:color w:val="FFFFFF" w:themeColor="background1"/>
                <w:sz w:val="20"/>
                <w:szCs w:val="20"/>
              </w:rPr>
            </w:pPr>
            <w:r w:rsidRPr="003B2AB8">
              <w:rPr>
                <w:color w:val="FFFFFF" w:themeColor="background1"/>
                <w:sz w:val="20"/>
                <w:szCs w:val="20"/>
              </w:rPr>
              <w:t>Item Type</w:t>
            </w:r>
          </w:p>
        </w:tc>
      </w:tr>
      <w:tr w:rsidR="00820C57" w:rsidRPr="003B2AB8" w14:paraId="58EB0D30" w14:textId="77777777" w:rsidTr="00C533F5">
        <w:trPr>
          <w:trHeight w:val="285"/>
        </w:trPr>
        <w:tc>
          <w:tcPr>
            <w:tcW w:w="0" w:type="auto"/>
            <w:shd w:val="clear" w:color="000000" w:fill="BFBFBF"/>
            <w:vAlign w:val="center"/>
            <w:hideMark/>
          </w:tcPr>
          <w:p w14:paraId="70D71962" w14:textId="77777777" w:rsidR="00820C57" w:rsidRPr="003B2AB8" w:rsidRDefault="00820C57" w:rsidP="004946BF">
            <w:pPr>
              <w:rPr>
                <w:sz w:val="20"/>
                <w:szCs w:val="20"/>
              </w:rPr>
            </w:pPr>
            <w:r w:rsidRPr="003B2AB8">
              <w:rPr>
                <w:sz w:val="20"/>
                <w:szCs w:val="20"/>
              </w:rPr>
              <w:t>Multiple Choice</w:t>
            </w:r>
          </w:p>
        </w:tc>
        <w:tc>
          <w:tcPr>
            <w:tcW w:w="0" w:type="auto"/>
            <w:shd w:val="clear" w:color="000000" w:fill="FFFFFF"/>
            <w:noWrap/>
            <w:vAlign w:val="center"/>
            <w:hideMark/>
          </w:tcPr>
          <w:p w14:paraId="06F5BCB7" w14:textId="77777777" w:rsidR="00820C57" w:rsidRPr="003B2AB8" w:rsidRDefault="00820C57" w:rsidP="004946BF">
            <w:pPr>
              <w:jc w:val="center"/>
              <w:rPr>
                <w:sz w:val="20"/>
                <w:szCs w:val="20"/>
              </w:rPr>
            </w:pPr>
            <w:r w:rsidRPr="003B2AB8">
              <w:rPr>
                <w:sz w:val="20"/>
                <w:szCs w:val="20"/>
              </w:rPr>
              <w:t>52</w:t>
            </w:r>
          </w:p>
        </w:tc>
        <w:tc>
          <w:tcPr>
            <w:tcW w:w="0" w:type="auto"/>
            <w:shd w:val="clear" w:color="000000" w:fill="FFFFFF"/>
            <w:noWrap/>
            <w:vAlign w:val="center"/>
            <w:hideMark/>
          </w:tcPr>
          <w:p w14:paraId="1C55728D" w14:textId="77777777" w:rsidR="00820C57" w:rsidRPr="003B2AB8" w:rsidRDefault="00820C57" w:rsidP="004946BF">
            <w:pPr>
              <w:jc w:val="center"/>
              <w:rPr>
                <w:sz w:val="20"/>
                <w:szCs w:val="20"/>
              </w:rPr>
            </w:pPr>
            <w:r w:rsidRPr="003B2AB8">
              <w:rPr>
                <w:sz w:val="20"/>
                <w:szCs w:val="20"/>
              </w:rPr>
              <w:t>52</w:t>
            </w:r>
          </w:p>
        </w:tc>
        <w:tc>
          <w:tcPr>
            <w:tcW w:w="0" w:type="auto"/>
            <w:shd w:val="clear" w:color="000000" w:fill="FFFFFF"/>
            <w:noWrap/>
            <w:vAlign w:val="center"/>
            <w:hideMark/>
          </w:tcPr>
          <w:p w14:paraId="15185C4C" w14:textId="77777777" w:rsidR="00820C57" w:rsidRPr="003B2AB8" w:rsidRDefault="00820C57" w:rsidP="004946BF">
            <w:pPr>
              <w:jc w:val="center"/>
              <w:rPr>
                <w:sz w:val="20"/>
                <w:szCs w:val="20"/>
              </w:rPr>
            </w:pPr>
            <w:r w:rsidRPr="003B2AB8">
              <w:rPr>
                <w:sz w:val="20"/>
                <w:szCs w:val="20"/>
              </w:rPr>
              <w:t>98.1%</w:t>
            </w:r>
          </w:p>
        </w:tc>
        <w:tc>
          <w:tcPr>
            <w:tcW w:w="0" w:type="auto"/>
            <w:shd w:val="clear" w:color="000000" w:fill="FFFFFF"/>
            <w:noWrap/>
            <w:vAlign w:val="center"/>
            <w:hideMark/>
          </w:tcPr>
          <w:p w14:paraId="6299979D" w14:textId="77777777" w:rsidR="00820C57" w:rsidRPr="003B2AB8" w:rsidRDefault="00820C57" w:rsidP="004946BF">
            <w:pPr>
              <w:jc w:val="center"/>
              <w:rPr>
                <w:sz w:val="20"/>
                <w:szCs w:val="20"/>
              </w:rPr>
            </w:pPr>
            <w:r w:rsidRPr="003B2AB8">
              <w:rPr>
                <w:sz w:val="20"/>
                <w:szCs w:val="20"/>
              </w:rPr>
              <w:t>0.5%</w:t>
            </w:r>
          </w:p>
        </w:tc>
        <w:tc>
          <w:tcPr>
            <w:tcW w:w="0" w:type="auto"/>
            <w:shd w:val="clear" w:color="000000" w:fill="FFFFFF"/>
            <w:noWrap/>
            <w:vAlign w:val="center"/>
            <w:hideMark/>
          </w:tcPr>
          <w:p w14:paraId="395A513B" w14:textId="77777777" w:rsidR="00820C57" w:rsidRPr="003B2AB8" w:rsidRDefault="00820C57" w:rsidP="004946BF">
            <w:pPr>
              <w:jc w:val="center"/>
              <w:rPr>
                <w:sz w:val="20"/>
                <w:szCs w:val="20"/>
              </w:rPr>
            </w:pPr>
            <w:r w:rsidRPr="003B2AB8">
              <w:rPr>
                <w:sz w:val="20"/>
                <w:szCs w:val="20"/>
              </w:rPr>
              <w:t>1.4%</w:t>
            </w:r>
          </w:p>
        </w:tc>
      </w:tr>
      <w:tr w:rsidR="00820C57" w:rsidRPr="003B2AB8" w14:paraId="329B40AE" w14:textId="77777777" w:rsidTr="00C533F5">
        <w:trPr>
          <w:trHeight w:val="285"/>
        </w:trPr>
        <w:tc>
          <w:tcPr>
            <w:tcW w:w="0" w:type="auto"/>
            <w:shd w:val="clear" w:color="000000" w:fill="BFBFBF"/>
            <w:vAlign w:val="center"/>
            <w:hideMark/>
          </w:tcPr>
          <w:p w14:paraId="4C65D296" w14:textId="77777777" w:rsidR="00820C57" w:rsidRPr="003B2AB8" w:rsidRDefault="002F6F8E" w:rsidP="004946BF">
            <w:pPr>
              <w:rPr>
                <w:sz w:val="20"/>
                <w:szCs w:val="20"/>
              </w:rPr>
            </w:pPr>
            <w:r w:rsidRPr="003B2AB8">
              <w:rPr>
                <w:sz w:val="20"/>
                <w:szCs w:val="20"/>
              </w:rPr>
              <w:t>Gridded</w:t>
            </w:r>
          </w:p>
        </w:tc>
        <w:tc>
          <w:tcPr>
            <w:tcW w:w="0" w:type="auto"/>
            <w:shd w:val="clear" w:color="000000" w:fill="FFFFFF"/>
            <w:noWrap/>
            <w:vAlign w:val="center"/>
            <w:hideMark/>
          </w:tcPr>
          <w:p w14:paraId="794CB0C3" w14:textId="77777777" w:rsidR="00820C57" w:rsidRPr="003B2AB8" w:rsidRDefault="00820C57" w:rsidP="004946BF">
            <w:pPr>
              <w:jc w:val="center"/>
              <w:rPr>
                <w:sz w:val="20"/>
                <w:szCs w:val="20"/>
              </w:rPr>
            </w:pPr>
            <w:r w:rsidRPr="003B2AB8">
              <w:rPr>
                <w:sz w:val="20"/>
                <w:szCs w:val="20"/>
              </w:rPr>
              <w:t>4</w:t>
            </w:r>
          </w:p>
        </w:tc>
        <w:tc>
          <w:tcPr>
            <w:tcW w:w="0" w:type="auto"/>
            <w:shd w:val="clear" w:color="000000" w:fill="FFFFFF"/>
            <w:noWrap/>
            <w:vAlign w:val="center"/>
            <w:hideMark/>
          </w:tcPr>
          <w:p w14:paraId="0E2614BD" w14:textId="77777777" w:rsidR="00820C57" w:rsidRPr="003B2AB8" w:rsidRDefault="00820C57" w:rsidP="004946BF">
            <w:pPr>
              <w:jc w:val="center"/>
              <w:rPr>
                <w:sz w:val="20"/>
                <w:szCs w:val="20"/>
              </w:rPr>
            </w:pPr>
            <w:r w:rsidRPr="003B2AB8">
              <w:rPr>
                <w:sz w:val="20"/>
                <w:szCs w:val="20"/>
              </w:rPr>
              <w:t>4</w:t>
            </w:r>
          </w:p>
        </w:tc>
        <w:tc>
          <w:tcPr>
            <w:tcW w:w="0" w:type="auto"/>
            <w:shd w:val="clear" w:color="000000" w:fill="FFFFFF"/>
            <w:noWrap/>
            <w:vAlign w:val="center"/>
            <w:hideMark/>
          </w:tcPr>
          <w:p w14:paraId="65F65FB7" w14:textId="77777777" w:rsidR="00820C57" w:rsidRPr="003B2AB8" w:rsidRDefault="00820C57" w:rsidP="004946BF">
            <w:pPr>
              <w:jc w:val="center"/>
              <w:rPr>
                <w:sz w:val="20"/>
                <w:szCs w:val="20"/>
              </w:rPr>
            </w:pPr>
            <w:r w:rsidRPr="003B2AB8">
              <w:rPr>
                <w:sz w:val="20"/>
                <w:szCs w:val="20"/>
              </w:rPr>
              <w:t>93.8%</w:t>
            </w:r>
          </w:p>
        </w:tc>
        <w:tc>
          <w:tcPr>
            <w:tcW w:w="0" w:type="auto"/>
            <w:shd w:val="clear" w:color="000000" w:fill="FFFFFF"/>
            <w:noWrap/>
            <w:vAlign w:val="center"/>
            <w:hideMark/>
          </w:tcPr>
          <w:p w14:paraId="37C2CD24" w14:textId="77777777" w:rsidR="00820C57" w:rsidRPr="003B2AB8" w:rsidRDefault="00820C57" w:rsidP="004946BF">
            <w:pPr>
              <w:jc w:val="center"/>
              <w:rPr>
                <w:sz w:val="20"/>
                <w:szCs w:val="20"/>
              </w:rPr>
            </w:pPr>
            <w:r w:rsidRPr="003B2AB8">
              <w:rPr>
                <w:sz w:val="20"/>
                <w:szCs w:val="20"/>
              </w:rPr>
              <w:t>6.3%</w:t>
            </w:r>
          </w:p>
        </w:tc>
        <w:tc>
          <w:tcPr>
            <w:tcW w:w="0" w:type="auto"/>
            <w:shd w:val="clear" w:color="000000" w:fill="FFFFFF"/>
            <w:noWrap/>
            <w:vAlign w:val="center"/>
            <w:hideMark/>
          </w:tcPr>
          <w:p w14:paraId="4744B9DD" w14:textId="77777777" w:rsidR="00820C57" w:rsidRPr="003B2AB8" w:rsidRDefault="00820C57" w:rsidP="004946BF">
            <w:pPr>
              <w:jc w:val="center"/>
              <w:rPr>
                <w:sz w:val="20"/>
                <w:szCs w:val="20"/>
              </w:rPr>
            </w:pPr>
            <w:r w:rsidRPr="003B2AB8">
              <w:rPr>
                <w:sz w:val="20"/>
                <w:szCs w:val="20"/>
              </w:rPr>
              <w:t>0.0%</w:t>
            </w:r>
          </w:p>
        </w:tc>
      </w:tr>
      <w:tr w:rsidR="00820C57" w:rsidRPr="003B2AB8" w14:paraId="1A930DF7" w14:textId="77777777" w:rsidTr="00C533F5">
        <w:trPr>
          <w:trHeight w:val="300"/>
        </w:trPr>
        <w:tc>
          <w:tcPr>
            <w:tcW w:w="0" w:type="auto"/>
            <w:shd w:val="clear" w:color="000000" w:fill="BFBFBF"/>
            <w:vAlign w:val="center"/>
            <w:hideMark/>
          </w:tcPr>
          <w:p w14:paraId="090D348C" w14:textId="77777777" w:rsidR="00820C57" w:rsidRPr="003B2AB8" w:rsidRDefault="00820C57" w:rsidP="004946BF">
            <w:pPr>
              <w:rPr>
                <w:b/>
                <w:bCs/>
                <w:sz w:val="20"/>
                <w:szCs w:val="20"/>
              </w:rPr>
            </w:pPr>
            <w:r w:rsidRPr="003B2AB8">
              <w:rPr>
                <w:b/>
                <w:bCs/>
                <w:sz w:val="20"/>
                <w:szCs w:val="20"/>
              </w:rPr>
              <w:t>Total</w:t>
            </w:r>
          </w:p>
        </w:tc>
        <w:tc>
          <w:tcPr>
            <w:tcW w:w="0" w:type="auto"/>
            <w:shd w:val="clear" w:color="000000" w:fill="FFFFFF"/>
            <w:noWrap/>
            <w:vAlign w:val="center"/>
            <w:hideMark/>
          </w:tcPr>
          <w:p w14:paraId="5AA59076" w14:textId="77777777" w:rsidR="00820C57" w:rsidRPr="003B2AB8" w:rsidRDefault="00820C57" w:rsidP="004946BF">
            <w:pPr>
              <w:jc w:val="center"/>
              <w:rPr>
                <w:b/>
                <w:bCs/>
                <w:sz w:val="20"/>
                <w:szCs w:val="20"/>
              </w:rPr>
            </w:pPr>
            <w:r w:rsidRPr="003B2AB8">
              <w:rPr>
                <w:b/>
                <w:bCs/>
                <w:sz w:val="20"/>
                <w:szCs w:val="20"/>
              </w:rPr>
              <w:t>56</w:t>
            </w:r>
          </w:p>
        </w:tc>
        <w:tc>
          <w:tcPr>
            <w:tcW w:w="0" w:type="auto"/>
            <w:shd w:val="clear" w:color="000000" w:fill="FFFFFF"/>
            <w:noWrap/>
            <w:vAlign w:val="center"/>
            <w:hideMark/>
          </w:tcPr>
          <w:p w14:paraId="1CA3E226" w14:textId="77777777" w:rsidR="00820C57" w:rsidRPr="003B2AB8" w:rsidRDefault="00820C57" w:rsidP="004946BF">
            <w:pPr>
              <w:jc w:val="center"/>
              <w:rPr>
                <w:b/>
                <w:bCs/>
                <w:sz w:val="20"/>
                <w:szCs w:val="20"/>
              </w:rPr>
            </w:pPr>
            <w:r w:rsidRPr="003B2AB8">
              <w:rPr>
                <w:b/>
                <w:bCs/>
                <w:sz w:val="20"/>
                <w:szCs w:val="20"/>
              </w:rPr>
              <w:t>56</w:t>
            </w:r>
          </w:p>
        </w:tc>
        <w:tc>
          <w:tcPr>
            <w:tcW w:w="0" w:type="auto"/>
            <w:shd w:val="clear" w:color="000000" w:fill="FFFFFF"/>
            <w:noWrap/>
            <w:vAlign w:val="center"/>
            <w:hideMark/>
          </w:tcPr>
          <w:p w14:paraId="56279921" w14:textId="77777777" w:rsidR="00820C57" w:rsidRPr="003B2AB8" w:rsidRDefault="00820C57" w:rsidP="004946BF">
            <w:pPr>
              <w:jc w:val="center"/>
              <w:rPr>
                <w:b/>
                <w:bCs/>
                <w:sz w:val="20"/>
                <w:szCs w:val="20"/>
              </w:rPr>
            </w:pPr>
            <w:r w:rsidRPr="003B2AB8">
              <w:rPr>
                <w:b/>
                <w:bCs/>
                <w:sz w:val="20"/>
                <w:szCs w:val="20"/>
              </w:rPr>
              <w:t>97.8%</w:t>
            </w:r>
          </w:p>
        </w:tc>
        <w:tc>
          <w:tcPr>
            <w:tcW w:w="0" w:type="auto"/>
            <w:shd w:val="clear" w:color="000000" w:fill="FFFFFF"/>
            <w:noWrap/>
            <w:vAlign w:val="center"/>
            <w:hideMark/>
          </w:tcPr>
          <w:p w14:paraId="482A7236" w14:textId="77777777" w:rsidR="00820C57" w:rsidRPr="003B2AB8" w:rsidRDefault="00820C57" w:rsidP="004946BF">
            <w:pPr>
              <w:jc w:val="center"/>
              <w:rPr>
                <w:b/>
                <w:bCs/>
                <w:sz w:val="20"/>
                <w:szCs w:val="20"/>
              </w:rPr>
            </w:pPr>
            <w:r w:rsidRPr="003B2AB8">
              <w:rPr>
                <w:b/>
                <w:bCs/>
                <w:sz w:val="20"/>
                <w:szCs w:val="20"/>
              </w:rPr>
              <w:t>0.9%</w:t>
            </w:r>
          </w:p>
        </w:tc>
        <w:tc>
          <w:tcPr>
            <w:tcW w:w="0" w:type="auto"/>
            <w:shd w:val="clear" w:color="000000" w:fill="FFFFFF"/>
            <w:noWrap/>
            <w:vAlign w:val="center"/>
            <w:hideMark/>
          </w:tcPr>
          <w:p w14:paraId="1F6C58B0" w14:textId="77777777" w:rsidR="00820C57" w:rsidRPr="003B2AB8" w:rsidRDefault="00820C57" w:rsidP="004946BF">
            <w:pPr>
              <w:jc w:val="center"/>
              <w:rPr>
                <w:b/>
                <w:bCs/>
                <w:sz w:val="20"/>
                <w:szCs w:val="20"/>
              </w:rPr>
            </w:pPr>
            <w:r w:rsidRPr="003B2AB8">
              <w:rPr>
                <w:b/>
                <w:bCs/>
                <w:sz w:val="20"/>
                <w:szCs w:val="20"/>
              </w:rPr>
              <w:t>2.2%</w:t>
            </w:r>
          </w:p>
        </w:tc>
      </w:tr>
    </w:tbl>
    <w:p w14:paraId="168B6EC9" w14:textId="77777777" w:rsidR="00FD3F81" w:rsidRPr="003B2AB8" w:rsidRDefault="00FD3F81" w:rsidP="00FD3F81"/>
    <w:p w14:paraId="7E25D561" w14:textId="77777777" w:rsidR="00820C57" w:rsidRPr="003B2AB8" w:rsidRDefault="00820C57" w:rsidP="00DF2682">
      <w:pPr>
        <w:pStyle w:val="HLevel3"/>
        <w:rPr>
          <w:noProof w:val="0"/>
        </w:rPr>
      </w:pPr>
      <w:bookmarkStart w:id="16" w:name="_Toc446343617"/>
      <w:r w:rsidRPr="003B2AB8">
        <w:rPr>
          <w:noProof w:val="0"/>
        </w:rPr>
        <w:t>Reading</w:t>
      </w:r>
      <w:bookmarkEnd w:id="16"/>
    </w:p>
    <w:p w14:paraId="0C77EB91" w14:textId="22A71A1F" w:rsidR="00820C57" w:rsidRPr="003B2AB8" w:rsidRDefault="00820C57" w:rsidP="00820C57">
      <w:pPr>
        <w:rPr>
          <w:szCs w:val="22"/>
        </w:rPr>
      </w:pPr>
      <w:r w:rsidRPr="003B2AB8">
        <w:t xml:space="preserve">The Texas </w:t>
      </w:r>
      <w:r w:rsidR="00086FD4" w:rsidRPr="003B2AB8">
        <w:t>reading assessments</w:t>
      </w:r>
      <w:r w:rsidRPr="003B2AB8">
        <w:t xml:space="preserve"> inclu</w:t>
      </w:r>
      <w:r w:rsidR="004946BF" w:rsidRPr="003B2AB8">
        <w:t>de three reporting categories: (a</w:t>
      </w:r>
      <w:r w:rsidRPr="003B2AB8">
        <w:t xml:space="preserve">) </w:t>
      </w:r>
      <w:r w:rsidRPr="003B2AB8">
        <w:rPr>
          <w:szCs w:val="22"/>
        </w:rPr>
        <w:t xml:space="preserve">Understanding/Analysis </w:t>
      </w:r>
      <w:r w:rsidR="00E45D61" w:rsidRPr="003B2AB8">
        <w:rPr>
          <w:szCs w:val="22"/>
        </w:rPr>
        <w:t>a</w:t>
      </w:r>
      <w:r w:rsidRPr="003B2AB8">
        <w:rPr>
          <w:szCs w:val="22"/>
        </w:rPr>
        <w:t>cross Genres</w:t>
      </w:r>
      <w:r w:rsidR="004946BF" w:rsidRPr="003B2AB8">
        <w:t>, (b</w:t>
      </w:r>
      <w:r w:rsidRPr="003B2AB8">
        <w:t xml:space="preserve">) </w:t>
      </w:r>
      <w:r w:rsidRPr="003B2AB8">
        <w:rPr>
          <w:szCs w:val="22"/>
        </w:rPr>
        <w:t>Understanding/Analysis of Literary Texts</w:t>
      </w:r>
      <w:r w:rsidR="004946BF" w:rsidRPr="003B2AB8">
        <w:rPr>
          <w:szCs w:val="22"/>
        </w:rPr>
        <w:t xml:space="preserve">, </w:t>
      </w:r>
      <w:r w:rsidR="00E45D61" w:rsidRPr="003B2AB8">
        <w:rPr>
          <w:szCs w:val="22"/>
        </w:rPr>
        <w:t xml:space="preserve">and </w:t>
      </w:r>
      <w:r w:rsidR="004946BF" w:rsidRPr="003B2AB8">
        <w:rPr>
          <w:szCs w:val="22"/>
        </w:rPr>
        <w:t>(c</w:t>
      </w:r>
      <w:r w:rsidRPr="003B2AB8">
        <w:rPr>
          <w:szCs w:val="22"/>
        </w:rPr>
        <w:t xml:space="preserve">) Understanding/Analysis of Informational Texts. Reading includes readiness and supporting standards. All STAAR </w:t>
      </w:r>
      <w:r w:rsidR="00086FD4" w:rsidRPr="003B2AB8">
        <w:rPr>
          <w:szCs w:val="22"/>
        </w:rPr>
        <w:t xml:space="preserve">reading </w:t>
      </w:r>
      <w:r w:rsidRPr="003B2AB8">
        <w:rPr>
          <w:szCs w:val="22"/>
        </w:rPr>
        <w:t>assessment items are multiple choice.</w:t>
      </w:r>
    </w:p>
    <w:p w14:paraId="6F94E0EE" w14:textId="77777777" w:rsidR="00C03930" w:rsidRPr="003B2AB8" w:rsidRDefault="00C03930" w:rsidP="00820C57"/>
    <w:p w14:paraId="3D8600B3" w14:textId="7FA1D0A7" w:rsidR="00820C57" w:rsidRPr="003B2AB8" w:rsidRDefault="00820C57" w:rsidP="00820C57">
      <w:r w:rsidRPr="003B2AB8">
        <w:t xml:space="preserve">Table 3 presents the content review results for the </w:t>
      </w:r>
      <w:r w:rsidR="004946BF" w:rsidRPr="003B2AB8">
        <w:t xml:space="preserve">2016 grade 5 </w:t>
      </w:r>
      <w:r w:rsidR="00086FD4" w:rsidRPr="003B2AB8">
        <w:t xml:space="preserve">reading </w:t>
      </w:r>
      <w:r w:rsidR="004946BF" w:rsidRPr="003B2AB8">
        <w:t>STAAR test form</w:t>
      </w:r>
      <w:r w:rsidRPr="003B2AB8">
        <w:t xml:space="preserve">. The number of items included on the test form matched the blueprint overall, </w:t>
      </w:r>
      <w:r w:rsidR="009F4576" w:rsidRPr="003B2AB8">
        <w:t xml:space="preserve">as well as </w:t>
      </w:r>
      <w:r w:rsidRPr="003B2AB8">
        <w:t>at each of the three reporting categories, and for each standard type.</w:t>
      </w:r>
    </w:p>
    <w:p w14:paraId="58D59EC7" w14:textId="77777777" w:rsidR="00C03930" w:rsidRPr="003B2AB8" w:rsidRDefault="00C03930" w:rsidP="00820C57"/>
    <w:p w14:paraId="16392AA3" w14:textId="66D8E290" w:rsidR="00820C57" w:rsidRPr="003B2AB8" w:rsidRDefault="00820C57" w:rsidP="00820C57">
      <w:r w:rsidRPr="003B2AB8">
        <w:t xml:space="preserve">For all reporting categories, the majority of items were rated as fully aligned to the expectation. An average of fewer than </w:t>
      </w:r>
      <w:r w:rsidR="009F4576" w:rsidRPr="003B2AB8">
        <w:t xml:space="preserve">4 </w:t>
      </w:r>
      <w:r w:rsidRPr="003B2AB8">
        <w:t xml:space="preserve">percent of all items were rated as not aligned, and an average of approximately </w:t>
      </w:r>
      <w:r w:rsidR="00E45D61" w:rsidRPr="003B2AB8">
        <w:t>9</w:t>
      </w:r>
      <w:r w:rsidRPr="003B2AB8">
        <w:t xml:space="preserve"> percent of all items were rated as partially aligned. Partial alignment indicates the rater felt at least some of the content within the item was consistent with the intent of the TEKS expectation, with some of the content falling outside. </w:t>
      </w:r>
    </w:p>
    <w:p w14:paraId="2A2569BC" w14:textId="77777777" w:rsidR="00820C57" w:rsidRPr="003B2AB8" w:rsidRDefault="00820C57" w:rsidP="00820C57">
      <w:pPr>
        <w:rPr>
          <w:i/>
        </w:rPr>
      </w:pPr>
    </w:p>
    <w:p w14:paraId="785625D0" w14:textId="77777777" w:rsidR="00CD470F" w:rsidRPr="003B2AB8" w:rsidRDefault="00CD470F" w:rsidP="00113149">
      <w:pPr>
        <w:pStyle w:val="HBodyText"/>
      </w:pPr>
      <w:r w:rsidRPr="003B2AB8">
        <w:br w:type="page"/>
      </w:r>
    </w:p>
    <w:p w14:paraId="1BF59892" w14:textId="77777777" w:rsidR="00820C57" w:rsidRPr="003B2AB8" w:rsidRDefault="00D91D57" w:rsidP="007D0070">
      <w:pPr>
        <w:pStyle w:val="HTable"/>
      </w:pPr>
      <w:bookmarkStart w:id="17" w:name="_Toc446071678"/>
      <w:r w:rsidRPr="003B2AB8">
        <w:t>Table 3. Grade 5 R</w:t>
      </w:r>
      <w:r w:rsidR="00820C57" w:rsidRPr="003B2AB8">
        <w:t xml:space="preserve">eading </w:t>
      </w:r>
      <w:r w:rsidR="00FD3F81" w:rsidRPr="003B2AB8">
        <w:t>C</w:t>
      </w:r>
      <w:r w:rsidR="00820C57" w:rsidRPr="003B2AB8">
        <w:t xml:space="preserve">ontent </w:t>
      </w:r>
      <w:r w:rsidR="00FD3F81" w:rsidRPr="003B2AB8">
        <w:t>A</w:t>
      </w:r>
      <w:r w:rsidR="00820C57" w:rsidRPr="003B2AB8">
        <w:t xml:space="preserve">lignment and </w:t>
      </w:r>
      <w:r w:rsidR="00FD3F81" w:rsidRPr="003B2AB8">
        <w:t>B</w:t>
      </w:r>
      <w:r w:rsidR="00820C57" w:rsidRPr="003B2AB8">
        <w:t xml:space="preserve">lueprint </w:t>
      </w:r>
      <w:r w:rsidR="00FD3F81" w:rsidRPr="003B2AB8">
        <w:t>C</w:t>
      </w:r>
      <w:r w:rsidR="00820C57" w:rsidRPr="003B2AB8">
        <w:t xml:space="preserve">onsistency </w:t>
      </w:r>
      <w:r w:rsidR="00FD3F81" w:rsidRPr="003B2AB8">
        <w:t>R</w:t>
      </w:r>
      <w:r w:rsidR="00820C57" w:rsidRPr="003B2AB8">
        <w:t>esults</w:t>
      </w:r>
      <w:bookmarkEnd w:id="17"/>
    </w:p>
    <w:tbl>
      <w:tblPr>
        <w:tblW w:w="0" w:type="auto"/>
        <w:tblInd w:w="93"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left w:w="115" w:type="dxa"/>
          <w:bottom w:w="14" w:type="dxa"/>
          <w:right w:w="115" w:type="dxa"/>
        </w:tblCellMar>
        <w:tblLook w:val="04A0" w:firstRow="1" w:lastRow="0" w:firstColumn="1" w:lastColumn="0" w:noHBand="0" w:noVBand="1"/>
      </w:tblPr>
      <w:tblGrid>
        <w:gridCol w:w="2001"/>
        <w:gridCol w:w="1271"/>
        <w:gridCol w:w="1226"/>
        <w:gridCol w:w="1658"/>
        <w:gridCol w:w="1698"/>
        <w:gridCol w:w="1643"/>
      </w:tblGrid>
      <w:tr w:rsidR="00613A7E" w:rsidRPr="003B2AB8" w14:paraId="461D71F2" w14:textId="77777777" w:rsidTr="00613A7E">
        <w:tc>
          <w:tcPr>
            <w:tcW w:w="0" w:type="auto"/>
            <w:tcBorders>
              <w:bottom w:val="single" w:sz="8" w:space="0" w:color="D9D9D9"/>
            </w:tcBorders>
            <w:shd w:val="clear" w:color="000000" w:fill="00528B"/>
            <w:noWrap/>
            <w:vAlign w:val="bottom"/>
            <w:hideMark/>
          </w:tcPr>
          <w:p w14:paraId="37EAE431" w14:textId="77777777" w:rsidR="00820C57" w:rsidRPr="003B2AB8" w:rsidRDefault="00820C57" w:rsidP="000B2D23">
            <w:pPr>
              <w:spacing w:after="40"/>
              <w:rPr>
                <w:color w:val="FFFFFF" w:themeColor="background1"/>
                <w:sz w:val="20"/>
                <w:szCs w:val="20"/>
              </w:rPr>
            </w:pPr>
            <w:r w:rsidRPr="003B2AB8">
              <w:rPr>
                <w:color w:val="FFFFFF" w:themeColor="background1"/>
                <w:sz w:val="20"/>
                <w:szCs w:val="20"/>
              </w:rPr>
              <w:t>Category</w:t>
            </w:r>
          </w:p>
        </w:tc>
        <w:tc>
          <w:tcPr>
            <w:tcW w:w="0" w:type="auto"/>
            <w:tcBorders>
              <w:bottom w:val="single" w:sz="8" w:space="0" w:color="D9D9D9"/>
            </w:tcBorders>
            <w:shd w:val="clear" w:color="000000" w:fill="00528B"/>
            <w:vAlign w:val="bottom"/>
            <w:hideMark/>
          </w:tcPr>
          <w:p w14:paraId="49410CC2" w14:textId="77777777" w:rsidR="00820C57" w:rsidRPr="003B2AB8" w:rsidRDefault="00820C57" w:rsidP="00613A7E">
            <w:pPr>
              <w:spacing w:after="40"/>
              <w:jc w:val="center"/>
              <w:rPr>
                <w:color w:val="FFFFFF" w:themeColor="background1"/>
                <w:sz w:val="20"/>
                <w:szCs w:val="20"/>
              </w:rPr>
            </w:pPr>
            <w:r w:rsidRPr="003B2AB8">
              <w:rPr>
                <w:color w:val="FFFFFF" w:themeColor="background1"/>
                <w:sz w:val="20"/>
                <w:szCs w:val="20"/>
              </w:rPr>
              <w:t>Blueprint # Questions</w:t>
            </w:r>
          </w:p>
        </w:tc>
        <w:tc>
          <w:tcPr>
            <w:tcW w:w="0" w:type="auto"/>
            <w:tcBorders>
              <w:bottom w:val="single" w:sz="8" w:space="0" w:color="D9D9D9"/>
            </w:tcBorders>
            <w:shd w:val="clear" w:color="000000" w:fill="00528B"/>
            <w:vAlign w:val="bottom"/>
            <w:hideMark/>
          </w:tcPr>
          <w:p w14:paraId="5F9349F6" w14:textId="77777777" w:rsidR="00820C57" w:rsidRPr="003B2AB8" w:rsidRDefault="00820C57" w:rsidP="00613A7E">
            <w:pPr>
              <w:spacing w:after="40"/>
              <w:jc w:val="center"/>
              <w:rPr>
                <w:color w:val="FFFFFF" w:themeColor="background1"/>
                <w:sz w:val="20"/>
                <w:szCs w:val="20"/>
              </w:rPr>
            </w:pPr>
            <w:r w:rsidRPr="003B2AB8">
              <w:rPr>
                <w:color w:val="FFFFFF" w:themeColor="background1"/>
                <w:sz w:val="20"/>
                <w:szCs w:val="20"/>
              </w:rPr>
              <w:t>Form # Questions</w:t>
            </w:r>
          </w:p>
        </w:tc>
        <w:tc>
          <w:tcPr>
            <w:tcW w:w="0" w:type="auto"/>
            <w:tcBorders>
              <w:bottom w:val="single" w:sz="8" w:space="0" w:color="D9D9D9"/>
            </w:tcBorders>
            <w:shd w:val="clear" w:color="000000" w:fill="00528B"/>
            <w:vAlign w:val="bottom"/>
            <w:hideMark/>
          </w:tcPr>
          <w:p w14:paraId="30895A41" w14:textId="77777777" w:rsidR="00820C57" w:rsidRPr="003B2AB8" w:rsidRDefault="00820C57" w:rsidP="00613A7E">
            <w:pPr>
              <w:spacing w:after="40"/>
              <w:jc w:val="center"/>
              <w:rPr>
                <w:color w:val="FFFFFF" w:themeColor="background1"/>
                <w:sz w:val="20"/>
                <w:szCs w:val="20"/>
              </w:rPr>
            </w:pPr>
            <w:r w:rsidRPr="003B2AB8">
              <w:rPr>
                <w:color w:val="FFFFFF" w:themeColor="background1"/>
                <w:sz w:val="20"/>
                <w:szCs w:val="20"/>
              </w:rPr>
              <w:t>Average Items Fully Aligned to Expectation</w:t>
            </w:r>
          </w:p>
        </w:tc>
        <w:tc>
          <w:tcPr>
            <w:tcW w:w="0" w:type="auto"/>
            <w:tcBorders>
              <w:bottom w:val="single" w:sz="8" w:space="0" w:color="D9D9D9"/>
            </w:tcBorders>
            <w:shd w:val="clear" w:color="000000" w:fill="00528B"/>
            <w:vAlign w:val="bottom"/>
            <w:hideMark/>
          </w:tcPr>
          <w:p w14:paraId="20583B11" w14:textId="77777777" w:rsidR="00820C57" w:rsidRPr="003B2AB8" w:rsidRDefault="00820C57" w:rsidP="00613A7E">
            <w:pPr>
              <w:spacing w:after="40"/>
              <w:jc w:val="center"/>
              <w:rPr>
                <w:color w:val="FFFFFF" w:themeColor="background1"/>
                <w:sz w:val="20"/>
                <w:szCs w:val="20"/>
              </w:rPr>
            </w:pPr>
            <w:r w:rsidRPr="003B2AB8">
              <w:rPr>
                <w:color w:val="FFFFFF" w:themeColor="background1"/>
                <w:sz w:val="20"/>
                <w:szCs w:val="20"/>
              </w:rPr>
              <w:t>Average Items Partially Aligned to Expectation</w:t>
            </w:r>
          </w:p>
        </w:tc>
        <w:tc>
          <w:tcPr>
            <w:tcW w:w="0" w:type="auto"/>
            <w:tcBorders>
              <w:bottom w:val="single" w:sz="8" w:space="0" w:color="D9D9D9"/>
            </w:tcBorders>
            <w:shd w:val="clear" w:color="000000" w:fill="00528B"/>
            <w:vAlign w:val="bottom"/>
            <w:hideMark/>
          </w:tcPr>
          <w:p w14:paraId="73DED1A4" w14:textId="77777777" w:rsidR="00820C57" w:rsidRPr="003B2AB8" w:rsidRDefault="00820C57" w:rsidP="00613A7E">
            <w:pPr>
              <w:spacing w:after="40"/>
              <w:jc w:val="center"/>
              <w:rPr>
                <w:color w:val="FFFFFF" w:themeColor="background1"/>
                <w:sz w:val="20"/>
                <w:szCs w:val="20"/>
              </w:rPr>
            </w:pPr>
            <w:r w:rsidRPr="003B2AB8">
              <w:rPr>
                <w:color w:val="FFFFFF" w:themeColor="background1"/>
                <w:sz w:val="20"/>
                <w:szCs w:val="20"/>
              </w:rPr>
              <w:t>Average Items Not Aligned to Expectation</w:t>
            </w:r>
          </w:p>
        </w:tc>
      </w:tr>
      <w:tr w:rsidR="00613A7E" w:rsidRPr="003B2AB8" w14:paraId="5DD74B6C" w14:textId="77777777" w:rsidTr="00613A7E">
        <w:tc>
          <w:tcPr>
            <w:tcW w:w="0" w:type="auto"/>
            <w:gridSpan w:val="6"/>
            <w:shd w:val="clear" w:color="000000" w:fill="0080BA"/>
            <w:noWrap/>
            <w:vAlign w:val="center"/>
            <w:hideMark/>
          </w:tcPr>
          <w:p w14:paraId="72A92402" w14:textId="77777777" w:rsidR="00820C57" w:rsidRPr="003B2AB8" w:rsidRDefault="00820C57" w:rsidP="000B2D23">
            <w:pPr>
              <w:jc w:val="center"/>
              <w:rPr>
                <w:bCs/>
                <w:color w:val="FFFFFF" w:themeColor="background1"/>
                <w:sz w:val="20"/>
                <w:szCs w:val="20"/>
              </w:rPr>
            </w:pPr>
            <w:r w:rsidRPr="003B2AB8">
              <w:rPr>
                <w:bCs/>
                <w:color w:val="FFFFFF" w:themeColor="background1"/>
                <w:sz w:val="20"/>
                <w:szCs w:val="20"/>
              </w:rPr>
              <w:t>Reporting Category</w:t>
            </w:r>
          </w:p>
        </w:tc>
      </w:tr>
      <w:tr w:rsidR="00820C57" w:rsidRPr="003B2AB8" w14:paraId="71F1B5FF" w14:textId="77777777" w:rsidTr="00613A7E">
        <w:trPr>
          <w:trHeight w:val="300"/>
        </w:trPr>
        <w:tc>
          <w:tcPr>
            <w:tcW w:w="0" w:type="auto"/>
            <w:shd w:val="clear" w:color="000000" w:fill="BFBFBF"/>
            <w:hideMark/>
          </w:tcPr>
          <w:p w14:paraId="27756140" w14:textId="77777777" w:rsidR="00820C57" w:rsidRPr="003B2AB8" w:rsidRDefault="00820C57" w:rsidP="00E45D61">
            <w:pPr>
              <w:rPr>
                <w:sz w:val="20"/>
                <w:szCs w:val="20"/>
              </w:rPr>
            </w:pPr>
            <w:r w:rsidRPr="003B2AB8">
              <w:rPr>
                <w:sz w:val="20"/>
                <w:szCs w:val="20"/>
              </w:rPr>
              <w:t xml:space="preserve">1: Understanding/ Analysis </w:t>
            </w:r>
            <w:r w:rsidR="00E45D61" w:rsidRPr="003B2AB8">
              <w:rPr>
                <w:sz w:val="20"/>
                <w:szCs w:val="20"/>
              </w:rPr>
              <w:t>a</w:t>
            </w:r>
            <w:r w:rsidRPr="003B2AB8">
              <w:rPr>
                <w:sz w:val="20"/>
                <w:szCs w:val="20"/>
              </w:rPr>
              <w:t>cross Genres</w:t>
            </w:r>
          </w:p>
        </w:tc>
        <w:tc>
          <w:tcPr>
            <w:tcW w:w="0" w:type="auto"/>
            <w:shd w:val="clear" w:color="000000" w:fill="FFFFFF"/>
            <w:noWrap/>
            <w:vAlign w:val="center"/>
            <w:hideMark/>
          </w:tcPr>
          <w:p w14:paraId="5D20A71F" w14:textId="77777777" w:rsidR="00820C57" w:rsidRPr="003B2AB8" w:rsidRDefault="00820C57" w:rsidP="00820C57">
            <w:pPr>
              <w:jc w:val="center"/>
              <w:rPr>
                <w:sz w:val="20"/>
                <w:szCs w:val="20"/>
              </w:rPr>
            </w:pPr>
            <w:r w:rsidRPr="003B2AB8">
              <w:rPr>
                <w:sz w:val="20"/>
                <w:szCs w:val="20"/>
              </w:rPr>
              <w:t>10</w:t>
            </w:r>
          </w:p>
        </w:tc>
        <w:tc>
          <w:tcPr>
            <w:tcW w:w="0" w:type="auto"/>
            <w:shd w:val="clear" w:color="000000" w:fill="FFFFFF"/>
            <w:noWrap/>
            <w:vAlign w:val="center"/>
            <w:hideMark/>
          </w:tcPr>
          <w:p w14:paraId="48B8260E" w14:textId="77777777" w:rsidR="00820C57" w:rsidRPr="003B2AB8" w:rsidRDefault="00820C57" w:rsidP="00820C57">
            <w:pPr>
              <w:jc w:val="center"/>
              <w:rPr>
                <w:sz w:val="20"/>
                <w:szCs w:val="20"/>
              </w:rPr>
            </w:pPr>
            <w:r w:rsidRPr="003B2AB8">
              <w:rPr>
                <w:sz w:val="20"/>
                <w:szCs w:val="20"/>
              </w:rPr>
              <w:t>10</w:t>
            </w:r>
          </w:p>
        </w:tc>
        <w:tc>
          <w:tcPr>
            <w:tcW w:w="0" w:type="auto"/>
            <w:shd w:val="clear" w:color="000000" w:fill="FFFFFF"/>
            <w:noWrap/>
            <w:vAlign w:val="center"/>
            <w:hideMark/>
          </w:tcPr>
          <w:p w14:paraId="5B98C019" w14:textId="77777777" w:rsidR="00820C57" w:rsidRPr="003B2AB8" w:rsidRDefault="00820C57" w:rsidP="00820C57">
            <w:pPr>
              <w:jc w:val="center"/>
              <w:rPr>
                <w:sz w:val="20"/>
                <w:szCs w:val="20"/>
              </w:rPr>
            </w:pPr>
            <w:r w:rsidRPr="003B2AB8">
              <w:rPr>
                <w:sz w:val="20"/>
                <w:szCs w:val="20"/>
              </w:rPr>
              <w:t>95.0%</w:t>
            </w:r>
          </w:p>
        </w:tc>
        <w:tc>
          <w:tcPr>
            <w:tcW w:w="0" w:type="auto"/>
            <w:shd w:val="clear" w:color="000000" w:fill="FFFFFF"/>
            <w:noWrap/>
            <w:vAlign w:val="center"/>
            <w:hideMark/>
          </w:tcPr>
          <w:p w14:paraId="0E0E7732" w14:textId="77777777" w:rsidR="00820C57" w:rsidRPr="003B2AB8" w:rsidRDefault="00820C57" w:rsidP="00820C57">
            <w:pPr>
              <w:jc w:val="center"/>
              <w:rPr>
                <w:sz w:val="20"/>
                <w:szCs w:val="20"/>
              </w:rPr>
            </w:pPr>
            <w:r w:rsidRPr="003B2AB8">
              <w:rPr>
                <w:sz w:val="20"/>
                <w:szCs w:val="20"/>
              </w:rPr>
              <w:t>2.5%</w:t>
            </w:r>
          </w:p>
        </w:tc>
        <w:tc>
          <w:tcPr>
            <w:tcW w:w="0" w:type="auto"/>
            <w:shd w:val="clear" w:color="000000" w:fill="FFFFFF"/>
            <w:noWrap/>
            <w:vAlign w:val="center"/>
            <w:hideMark/>
          </w:tcPr>
          <w:p w14:paraId="5BFF7328" w14:textId="77777777" w:rsidR="00820C57" w:rsidRPr="003B2AB8" w:rsidRDefault="00820C57" w:rsidP="00820C57">
            <w:pPr>
              <w:jc w:val="center"/>
              <w:rPr>
                <w:sz w:val="20"/>
                <w:szCs w:val="20"/>
              </w:rPr>
            </w:pPr>
            <w:r w:rsidRPr="003B2AB8">
              <w:rPr>
                <w:sz w:val="20"/>
                <w:szCs w:val="20"/>
              </w:rPr>
              <w:t>2.5%</w:t>
            </w:r>
          </w:p>
        </w:tc>
      </w:tr>
      <w:tr w:rsidR="00820C57" w:rsidRPr="003B2AB8" w14:paraId="35EE8FFA" w14:textId="77777777" w:rsidTr="00613A7E">
        <w:trPr>
          <w:trHeight w:val="570"/>
        </w:trPr>
        <w:tc>
          <w:tcPr>
            <w:tcW w:w="0" w:type="auto"/>
            <w:shd w:val="clear" w:color="000000" w:fill="BFBFBF"/>
            <w:vAlign w:val="bottom"/>
            <w:hideMark/>
          </w:tcPr>
          <w:p w14:paraId="60DFEA20" w14:textId="77777777" w:rsidR="00820C57" w:rsidRPr="003B2AB8" w:rsidRDefault="00820C57" w:rsidP="00820C57">
            <w:pPr>
              <w:rPr>
                <w:sz w:val="20"/>
                <w:szCs w:val="20"/>
              </w:rPr>
            </w:pPr>
            <w:r w:rsidRPr="003B2AB8">
              <w:rPr>
                <w:sz w:val="20"/>
                <w:szCs w:val="20"/>
              </w:rPr>
              <w:t>2: Understanding/ Analysis of Literary Texts</w:t>
            </w:r>
          </w:p>
        </w:tc>
        <w:tc>
          <w:tcPr>
            <w:tcW w:w="0" w:type="auto"/>
            <w:shd w:val="clear" w:color="000000" w:fill="FFFFFF"/>
            <w:noWrap/>
            <w:vAlign w:val="center"/>
            <w:hideMark/>
          </w:tcPr>
          <w:p w14:paraId="0925BC73" w14:textId="77777777" w:rsidR="00820C57" w:rsidRPr="003B2AB8" w:rsidRDefault="00820C57" w:rsidP="00820C57">
            <w:pPr>
              <w:jc w:val="center"/>
              <w:rPr>
                <w:sz w:val="20"/>
                <w:szCs w:val="20"/>
              </w:rPr>
            </w:pPr>
            <w:r w:rsidRPr="003B2AB8">
              <w:rPr>
                <w:sz w:val="20"/>
                <w:szCs w:val="20"/>
              </w:rPr>
              <w:t>19</w:t>
            </w:r>
          </w:p>
        </w:tc>
        <w:tc>
          <w:tcPr>
            <w:tcW w:w="0" w:type="auto"/>
            <w:shd w:val="clear" w:color="000000" w:fill="FFFFFF"/>
            <w:noWrap/>
            <w:vAlign w:val="center"/>
            <w:hideMark/>
          </w:tcPr>
          <w:p w14:paraId="07BB2DB2" w14:textId="77777777" w:rsidR="00820C57" w:rsidRPr="003B2AB8" w:rsidRDefault="00820C57" w:rsidP="00820C57">
            <w:pPr>
              <w:jc w:val="center"/>
              <w:rPr>
                <w:sz w:val="20"/>
                <w:szCs w:val="20"/>
              </w:rPr>
            </w:pPr>
            <w:r w:rsidRPr="003B2AB8">
              <w:rPr>
                <w:sz w:val="20"/>
                <w:szCs w:val="20"/>
              </w:rPr>
              <w:t>19</w:t>
            </w:r>
          </w:p>
        </w:tc>
        <w:tc>
          <w:tcPr>
            <w:tcW w:w="0" w:type="auto"/>
            <w:shd w:val="clear" w:color="000000" w:fill="FFFFFF"/>
            <w:noWrap/>
            <w:vAlign w:val="center"/>
            <w:hideMark/>
          </w:tcPr>
          <w:p w14:paraId="32D4B5B2" w14:textId="77777777" w:rsidR="00820C57" w:rsidRPr="003B2AB8" w:rsidRDefault="00820C57" w:rsidP="00820C57">
            <w:pPr>
              <w:jc w:val="center"/>
              <w:rPr>
                <w:sz w:val="20"/>
                <w:szCs w:val="20"/>
              </w:rPr>
            </w:pPr>
            <w:r w:rsidRPr="003B2AB8">
              <w:rPr>
                <w:sz w:val="20"/>
                <w:szCs w:val="20"/>
              </w:rPr>
              <w:t>88.2%</w:t>
            </w:r>
          </w:p>
        </w:tc>
        <w:tc>
          <w:tcPr>
            <w:tcW w:w="0" w:type="auto"/>
            <w:shd w:val="clear" w:color="000000" w:fill="FFFFFF"/>
            <w:noWrap/>
            <w:vAlign w:val="center"/>
            <w:hideMark/>
          </w:tcPr>
          <w:p w14:paraId="254B31B3" w14:textId="77777777" w:rsidR="00820C57" w:rsidRPr="003B2AB8" w:rsidRDefault="00820C57" w:rsidP="00820C57">
            <w:pPr>
              <w:jc w:val="center"/>
              <w:rPr>
                <w:sz w:val="20"/>
                <w:szCs w:val="20"/>
              </w:rPr>
            </w:pPr>
            <w:r w:rsidRPr="003B2AB8">
              <w:rPr>
                <w:sz w:val="20"/>
                <w:szCs w:val="20"/>
              </w:rPr>
              <w:t>7.9%</w:t>
            </w:r>
          </w:p>
        </w:tc>
        <w:tc>
          <w:tcPr>
            <w:tcW w:w="0" w:type="auto"/>
            <w:shd w:val="clear" w:color="000000" w:fill="FFFFFF"/>
            <w:noWrap/>
            <w:vAlign w:val="center"/>
            <w:hideMark/>
          </w:tcPr>
          <w:p w14:paraId="50BE772B" w14:textId="77777777" w:rsidR="00820C57" w:rsidRPr="003B2AB8" w:rsidRDefault="00820C57" w:rsidP="00820C57">
            <w:pPr>
              <w:jc w:val="center"/>
              <w:rPr>
                <w:sz w:val="20"/>
                <w:szCs w:val="20"/>
              </w:rPr>
            </w:pPr>
            <w:r w:rsidRPr="003B2AB8">
              <w:rPr>
                <w:sz w:val="20"/>
                <w:szCs w:val="20"/>
              </w:rPr>
              <w:t>3.9%</w:t>
            </w:r>
          </w:p>
        </w:tc>
      </w:tr>
      <w:tr w:rsidR="00820C57" w:rsidRPr="003B2AB8" w14:paraId="3FC66852" w14:textId="77777777" w:rsidTr="00613A7E">
        <w:trPr>
          <w:trHeight w:val="570"/>
        </w:trPr>
        <w:tc>
          <w:tcPr>
            <w:tcW w:w="0" w:type="auto"/>
            <w:tcBorders>
              <w:bottom w:val="single" w:sz="8" w:space="0" w:color="D9D9D9"/>
            </w:tcBorders>
            <w:shd w:val="clear" w:color="000000" w:fill="BFBFBF"/>
            <w:vAlign w:val="bottom"/>
            <w:hideMark/>
          </w:tcPr>
          <w:p w14:paraId="1C163E1E" w14:textId="77777777" w:rsidR="00820C57" w:rsidRPr="003B2AB8" w:rsidRDefault="00820C57" w:rsidP="00613A7E">
            <w:pPr>
              <w:rPr>
                <w:sz w:val="20"/>
                <w:szCs w:val="20"/>
              </w:rPr>
            </w:pPr>
            <w:r w:rsidRPr="003B2AB8">
              <w:rPr>
                <w:sz w:val="20"/>
                <w:szCs w:val="20"/>
              </w:rPr>
              <w:t>3: Understanding/</w:t>
            </w:r>
            <w:r w:rsidR="00613A7E" w:rsidRPr="003B2AB8">
              <w:rPr>
                <w:sz w:val="20"/>
                <w:szCs w:val="20"/>
              </w:rPr>
              <w:t xml:space="preserve"> </w:t>
            </w:r>
            <w:r w:rsidRPr="003B2AB8">
              <w:rPr>
                <w:sz w:val="20"/>
                <w:szCs w:val="20"/>
              </w:rPr>
              <w:t>Analysis of Informational Texts</w:t>
            </w:r>
          </w:p>
        </w:tc>
        <w:tc>
          <w:tcPr>
            <w:tcW w:w="0" w:type="auto"/>
            <w:tcBorders>
              <w:bottom w:val="single" w:sz="8" w:space="0" w:color="D9D9D9"/>
            </w:tcBorders>
            <w:shd w:val="clear" w:color="000000" w:fill="FFFFFF"/>
            <w:noWrap/>
            <w:vAlign w:val="center"/>
            <w:hideMark/>
          </w:tcPr>
          <w:p w14:paraId="1C59C5A4" w14:textId="77777777" w:rsidR="00820C57" w:rsidRPr="003B2AB8" w:rsidRDefault="00820C57" w:rsidP="00820C57">
            <w:pPr>
              <w:jc w:val="center"/>
              <w:rPr>
                <w:sz w:val="20"/>
                <w:szCs w:val="20"/>
              </w:rPr>
            </w:pPr>
            <w:r w:rsidRPr="003B2AB8">
              <w:rPr>
                <w:sz w:val="20"/>
                <w:szCs w:val="20"/>
              </w:rPr>
              <w:t>17</w:t>
            </w:r>
          </w:p>
        </w:tc>
        <w:tc>
          <w:tcPr>
            <w:tcW w:w="0" w:type="auto"/>
            <w:tcBorders>
              <w:bottom w:val="single" w:sz="8" w:space="0" w:color="D9D9D9"/>
            </w:tcBorders>
            <w:shd w:val="clear" w:color="000000" w:fill="FFFFFF"/>
            <w:noWrap/>
            <w:vAlign w:val="center"/>
            <w:hideMark/>
          </w:tcPr>
          <w:p w14:paraId="3AFFD5A8" w14:textId="77777777" w:rsidR="00820C57" w:rsidRPr="003B2AB8" w:rsidRDefault="00820C57" w:rsidP="00820C57">
            <w:pPr>
              <w:jc w:val="center"/>
              <w:rPr>
                <w:sz w:val="20"/>
                <w:szCs w:val="20"/>
              </w:rPr>
            </w:pPr>
            <w:r w:rsidRPr="003B2AB8">
              <w:rPr>
                <w:sz w:val="20"/>
                <w:szCs w:val="20"/>
              </w:rPr>
              <w:t>17</w:t>
            </w:r>
          </w:p>
        </w:tc>
        <w:tc>
          <w:tcPr>
            <w:tcW w:w="0" w:type="auto"/>
            <w:tcBorders>
              <w:bottom w:val="single" w:sz="8" w:space="0" w:color="D9D9D9"/>
            </w:tcBorders>
            <w:shd w:val="clear" w:color="000000" w:fill="FFFFFF"/>
            <w:noWrap/>
            <w:vAlign w:val="center"/>
            <w:hideMark/>
          </w:tcPr>
          <w:p w14:paraId="03B466E6" w14:textId="77777777" w:rsidR="00820C57" w:rsidRPr="003B2AB8" w:rsidRDefault="00820C57" w:rsidP="00820C57">
            <w:pPr>
              <w:jc w:val="center"/>
              <w:rPr>
                <w:sz w:val="20"/>
                <w:szCs w:val="20"/>
              </w:rPr>
            </w:pPr>
            <w:r w:rsidRPr="003B2AB8">
              <w:rPr>
                <w:sz w:val="20"/>
                <w:szCs w:val="20"/>
              </w:rPr>
              <w:t>85.3%</w:t>
            </w:r>
          </w:p>
        </w:tc>
        <w:tc>
          <w:tcPr>
            <w:tcW w:w="0" w:type="auto"/>
            <w:tcBorders>
              <w:bottom w:val="single" w:sz="8" w:space="0" w:color="D9D9D9"/>
            </w:tcBorders>
            <w:shd w:val="clear" w:color="000000" w:fill="FFFFFF"/>
            <w:noWrap/>
            <w:vAlign w:val="center"/>
            <w:hideMark/>
          </w:tcPr>
          <w:p w14:paraId="3ADC495E" w14:textId="77777777" w:rsidR="00820C57" w:rsidRPr="003B2AB8" w:rsidRDefault="00820C57" w:rsidP="00820C57">
            <w:pPr>
              <w:jc w:val="center"/>
              <w:rPr>
                <w:sz w:val="20"/>
                <w:szCs w:val="20"/>
              </w:rPr>
            </w:pPr>
            <w:r w:rsidRPr="003B2AB8">
              <w:rPr>
                <w:sz w:val="20"/>
                <w:szCs w:val="20"/>
              </w:rPr>
              <w:t>13.2%</w:t>
            </w:r>
          </w:p>
        </w:tc>
        <w:tc>
          <w:tcPr>
            <w:tcW w:w="0" w:type="auto"/>
            <w:tcBorders>
              <w:bottom w:val="single" w:sz="8" w:space="0" w:color="D9D9D9"/>
            </w:tcBorders>
            <w:shd w:val="clear" w:color="000000" w:fill="FFFFFF"/>
            <w:noWrap/>
            <w:vAlign w:val="center"/>
            <w:hideMark/>
          </w:tcPr>
          <w:p w14:paraId="2FF75D63" w14:textId="77777777" w:rsidR="00820C57" w:rsidRPr="003B2AB8" w:rsidRDefault="00820C57" w:rsidP="00820C57">
            <w:pPr>
              <w:jc w:val="center"/>
              <w:rPr>
                <w:sz w:val="20"/>
                <w:szCs w:val="20"/>
              </w:rPr>
            </w:pPr>
            <w:r w:rsidRPr="003B2AB8">
              <w:rPr>
                <w:sz w:val="20"/>
                <w:szCs w:val="20"/>
              </w:rPr>
              <w:t>1.5%</w:t>
            </w:r>
          </w:p>
        </w:tc>
      </w:tr>
      <w:tr w:rsidR="00613A7E" w:rsidRPr="003B2AB8" w14:paraId="53087CAB" w14:textId="77777777" w:rsidTr="00613A7E">
        <w:tc>
          <w:tcPr>
            <w:tcW w:w="0" w:type="auto"/>
            <w:gridSpan w:val="6"/>
            <w:shd w:val="clear" w:color="000000" w:fill="0080BA"/>
            <w:vAlign w:val="center"/>
            <w:hideMark/>
          </w:tcPr>
          <w:p w14:paraId="399CE4F6" w14:textId="77777777" w:rsidR="00820C57" w:rsidRPr="003B2AB8" w:rsidRDefault="00820C57" w:rsidP="000B2D23">
            <w:pPr>
              <w:jc w:val="center"/>
              <w:rPr>
                <w:bCs/>
                <w:color w:val="FFFFFF" w:themeColor="background1"/>
                <w:sz w:val="20"/>
                <w:szCs w:val="20"/>
              </w:rPr>
            </w:pPr>
            <w:r w:rsidRPr="003B2AB8">
              <w:rPr>
                <w:bCs/>
                <w:color w:val="FFFFFF" w:themeColor="background1"/>
                <w:sz w:val="20"/>
                <w:szCs w:val="20"/>
              </w:rPr>
              <w:t>Standard Type</w:t>
            </w:r>
          </w:p>
        </w:tc>
      </w:tr>
      <w:tr w:rsidR="00820C57" w:rsidRPr="003B2AB8" w14:paraId="0237E8AD" w14:textId="77777777" w:rsidTr="00613A7E">
        <w:trPr>
          <w:trHeight w:val="285"/>
        </w:trPr>
        <w:tc>
          <w:tcPr>
            <w:tcW w:w="0" w:type="auto"/>
            <w:shd w:val="clear" w:color="000000" w:fill="BFBFBF"/>
            <w:vAlign w:val="bottom"/>
            <w:hideMark/>
          </w:tcPr>
          <w:p w14:paraId="07A39B05" w14:textId="77777777" w:rsidR="00820C57" w:rsidRPr="003B2AB8" w:rsidRDefault="00820C57" w:rsidP="00820C57">
            <w:pPr>
              <w:rPr>
                <w:sz w:val="20"/>
                <w:szCs w:val="20"/>
              </w:rPr>
            </w:pPr>
            <w:r w:rsidRPr="003B2AB8">
              <w:rPr>
                <w:sz w:val="20"/>
                <w:szCs w:val="20"/>
              </w:rPr>
              <w:t>Readiness Standards</w:t>
            </w:r>
          </w:p>
        </w:tc>
        <w:tc>
          <w:tcPr>
            <w:tcW w:w="0" w:type="auto"/>
            <w:shd w:val="clear" w:color="000000" w:fill="FFFFFF"/>
            <w:noWrap/>
            <w:vAlign w:val="center"/>
            <w:hideMark/>
          </w:tcPr>
          <w:p w14:paraId="2A7EBBB3" w14:textId="77777777" w:rsidR="00820C57" w:rsidRPr="003B2AB8" w:rsidRDefault="00820C57" w:rsidP="00820C57">
            <w:pPr>
              <w:jc w:val="center"/>
              <w:rPr>
                <w:sz w:val="20"/>
                <w:szCs w:val="20"/>
              </w:rPr>
            </w:pPr>
            <w:r w:rsidRPr="003B2AB8">
              <w:rPr>
                <w:sz w:val="20"/>
                <w:szCs w:val="20"/>
              </w:rPr>
              <w:t>28-32</w:t>
            </w:r>
          </w:p>
        </w:tc>
        <w:tc>
          <w:tcPr>
            <w:tcW w:w="0" w:type="auto"/>
            <w:shd w:val="clear" w:color="000000" w:fill="FFFFFF"/>
            <w:noWrap/>
            <w:vAlign w:val="center"/>
            <w:hideMark/>
          </w:tcPr>
          <w:p w14:paraId="5AF3944C" w14:textId="77777777" w:rsidR="00820C57" w:rsidRPr="003B2AB8" w:rsidRDefault="00820C57" w:rsidP="00820C57">
            <w:pPr>
              <w:jc w:val="center"/>
              <w:rPr>
                <w:sz w:val="20"/>
                <w:szCs w:val="20"/>
              </w:rPr>
            </w:pPr>
            <w:r w:rsidRPr="003B2AB8">
              <w:rPr>
                <w:sz w:val="20"/>
                <w:szCs w:val="20"/>
              </w:rPr>
              <w:t>29</w:t>
            </w:r>
          </w:p>
        </w:tc>
        <w:tc>
          <w:tcPr>
            <w:tcW w:w="0" w:type="auto"/>
            <w:shd w:val="clear" w:color="000000" w:fill="FFFFFF"/>
            <w:noWrap/>
            <w:vAlign w:val="center"/>
            <w:hideMark/>
          </w:tcPr>
          <w:p w14:paraId="4D8D1262" w14:textId="77777777" w:rsidR="00820C57" w:rsidRPr="003B2AB8" w:rsidRDefault="00820C57" w:rsidP="00820C57">
            <w:pPr>
              <w:jc w:val="center"/>
              <w:rPr>
                <w:sz w:val="20"/>
                <w:szCs w:val="20"/>
              </w:rPr>
            </w:pPr>
            <w:r w:rsidRPr="003B2AB8">
              <w:rPr>
                <w:sz w:val="20"/>
                <w:szCs w:val="20"/>
              </w:rPr>
              <w:t>90.5%</w:t>
            </w:r>
          </w:p>
        </w:tc>
        <w:tc>
          <w:tcPr>
            <w:tcW w:w="0" w:type="auto"/>
            <w:shd w:val="clear" w:color="000000" w:fill="FFFFFF"/>
            <w:noWrap/>
            <w:vAlign w:val="center"/>
            <w:hideMark/>
          </w:tcPr>
          <w:p w14:paraId="38070D39" w14:textId="77777777" w:rsidR="00820C57" w:rsidRPr="003B2AB8" w:rsidRDefault="00820C57" w:rsidP="00820C57">
            <w:pPr>
              <w:jc w:val="center"/>
              <w:rPr>
                <w:sz w:val="20"/>
                <w:szCs w:val="20"/>
              </w:rPr>
            </w:pPr>
            <w:r w:rsidRPr="003B2AB8">
              <w:rPr>
                <w:sz w:val="20"/>
                <w:szCs w:val="20"/>
              </w:rPr>
              <w:t>6.9%</w:t>
            </w:r>
          </w:p>
        </w:tc>
        <w:tc>
          <w:tcPr>
            <w:tcW w:w="0" w:type="auto"/>
            <w:shd w:val="clear" w:color="000000" w:fill="FFFFFF"/>
            <w:noWrap/>
            <w:vAlign w:val="center"/>
            <w:hideMark/>
          </w:tcPr>
          <w:p w14:paraId="01931276" w14:textId="77777777" w:rsidR="00820C57" w:rsidRPr="003B2AB8" w:rsidRDefault="00820C57" w:rsidP="00820C57">
            <w:pPr>
              <w:jc w:val="center"/>
              <w:rPr>
                <w:sz w:val="20"/>
                <w:szCs w:val="20"/>
              </w:rPr>
            </w:pPr>
            <w:r w:rsidRPr="003B2AB8">
              <w:rPr>
                <w:sz w:val="20"/>
                <w:szCs w:val="20"/>
              </w:rPr>
              <w:t>2.6%</w:t>
            </w:r>
          </w:p>
        </w:tc>
      </w:tr>
      <w:tr w:rsidR="00820C57" w:rsidRPr="003B2AB8" w14:paraId="2A34E2F0" w14:textId="77777777" w:rsidTr="00613A7E">
        <w:trPr>
          <w:trHeight w:val="285"/>
        </w:trPr>
        <w:tc>
          <w:tcPr>
            <w:tcW w:w="0" w:type="auto"/>
            <w:shd w:val="clear" w:color="000000" w:fill="BFBFBF"/>
            <w:vAlign w:val="bottom"/>
            <w:hideMark/>
          </w:tcPr>
          <w:p w14:paraId="35E5E3FB" w14:textId="77777777" w:rsidR="00820C57" w:rsidRPr="003B2AB8" w:rsidRDefault="00820C57" w:rsidP="00820C57">
            <w:pPr>
              <w:rPr>
                <w:sz w:val="20"/>
                <w:szCs w:val="20"/>
              </w:rPr>
            </w:pPr>
            <w:r w:rsidRPr="003B2AB8">
              <w:rPr>
                <w:sz w:val="20"/>
                <w:szCs w:val="20"/>
              </w:rPr>
              <w:t>Supporting Standards</w:t>
            </w:r>
          </w:p>
        </w:tc>
        <w:tc>
          <w:tcPr>
            <w:tcW w:w="0" w:type="auto"/>
            <w:shd w:val="clear" w:color="000000" w:fill="FFFFFF"/>
            <w:noWrap/>
            <w:vAlign w:val="center"/>
            <w:hideMark/>
          </w:tcPr>
          <w:p w14:paraId="4F67DCD3" w14:textId="77777777" w:rsidR="00820C57" w:rsidRPr="003B2AB8" w:rsidRDefault="00820C57" w:rsidP="00820C57">
            <w:pPr>
              <w:jc w:val="center"/>
              <w:rPr>
                <w:sz w:val="20"/>
                <w:szCs w:val="20"/>
              </w:rPr>
            </w:pPr>
            <w:r w:rsidRPr="003B2AB8">
              <w:rPr>
                <w:sz w:val="20"/>
                <w:szCs w:val="20"/>
              </w:rPr>
              <w:t>14-18</w:t>
            </w:r>
          </w:p>
        </w:tc>
        <w:tc>
          <w:tcPr>
            <w:tcW w:w="0" w:type="auto"/>
            <w:shd w:val="clear" w:color="000000" w:fill="FFFFFF"/>
            <w:noWrap/>
            <w:vAlign w:val="center"/>
            <w:hideMark/>
          </w:tcPr>
          <w:p w14:paraId="5E8F6491" w14:textId="77777777" w:rsidR="00820C57" w:rsidRPr="003B2AB8" w:rsidRDefault="00820C57" w:rsidP="00820C57">
            <w:pPr>
              <w:jc w:val="center"/>
              <w:rPr>
                <w:sz w:val="20"/>
                <w:szCs w:val="20"/>
              </w:rPr>
            </w:pPr>
            <w:r w:rsidRPr="003B2AB8">
              <w:rPr>
                <w:sz w:val="20"/>
                <w:szCs w:val="20"/>
              </w:rPr>
              <w:t>17</w:t>
            </w:r>
          </w:p>
        </w:tc>
        <w:tc>
          <w:tcPr>
            <w:tcW w:w="0" w:type="auto"/>
            <w:shd w:val="clear" w:color="000000" w:fill="FFFFFF"/>
            <w:noWrap/>
            <w:vAlign w:val="center"/>
            <w:hideMark/>
          </w:tcPr>
          <w:p w14:paraId="3E11E751" w14:textId="77777777" w:rsidR="00820C57" w:rsidRPr="003B2AB8" w:rsidRDefault="00820C57" w:rsidP="00820C57">
            <w:pPr>
              <w:jc w:val="center"/>
              <w:rPr>
                <w:sz w:val="20"/>
                <w:szCs w:val="20"/>
              </w:rPr>
            </w:pPr>
            <w:r w:rsidRPr="003B2AB8">
              <w:rPr>
                <w:sz w:val="20"/>
                <w:szCs w:val="20"/>
              </w:rPr>
              <w:t>85.3%</w:t>
            </w:r>
          </w:p>
        </w:tc>
        <w:tc>
          <w:tcPr>
            <w:tcW w:w="0" w:type="auto"/>
            <w:shd w:val="clear" w:color="000000" w:fill="FFFFFF"/>
            <w:noWrap/>
            <w:vAlign w:val="center"/>
            <w:hideMark/>
          </w:tcPr>
          <w:p w14:paraId="4FE3E3B2" w14:textId="77777777" w:rsidR="00820C57" w:rsidRPr="003B2AB8" w:rsidRDefault="00820C57" w:rsidP="00820C57">
            <w:pPr>
              <w:jc w:val="center"/>
              <w:rPr>
                <w:sz w:val="20"/>
                <w:szCs w:val="20"/>
              </w:rPr>
            </w:pPr>
            <w:r w:rsidRPr="003B2AB8">
              <w:rPr>
                <w:sz w:val="20"/>
                <w:szCs w:val="20"/>
              </w:rPr>
              <w:t>11.8%</w:t>
            </w:r>
          </w:p>
        </w:tc>
        <w:tc>
          <w:tcPr>
            <w:tcW w:w="0" w:type="auto"/>
            <w:shd w:val="clear" w:color="000000" w:fill="FFFFFF"/>
            <w:noWrap/>
            <w:vAlign w:val="center"/>
            <w:hideMark/>
          </w:tcPr>
          <w:p w14:paraId="74A2F243" w14:textId="77777777" w:rsidR="00820C57" w:rsidRPr="003B2AB8" w:rsidRDefault="00820C57" w:rsidP="00820C57">
            <w:pPr>
              <w:jc w:val="center"/>
              <w:rPr>
                <w:sz w:val="20"/>
                <w:szCs w:val="20"/>
              </w:rPr>
            </w:pPr>
            <w:r w:rsidRPr="003B2AB8">
              <w:rPr>
                <w:sz w:val="20"/>
                <w:szCs w:val="20"/>
              </w:rPr>
              <w:t>2.9%</w:t>
            </w:r>
          </w:p>
        </w:tc>
      </w:tr>
      <w:tr w:rsidR="00820C57" w:rsidRPr="003B2AB8" w14:paraId="074C6151" w14:textId="77777777" w:rsidTr="00613A7E">
        <w:trPr>
          <w:trHeight w:val="300"/>
        </w:trPr>
        <w:tc>
          <w:tcPr>
            <w:tcW w:w="0" w:type="auto"/>
            <w:shd w:val="clear" w:color="000000" w:fill="BFBFBF"/>
            <w:vAlign w:val="bottom"/>
            <w:hideMark/>
          </w:tcPr>
          <w:p w14:paraId="49F2C88F" w14:textId="77777777" w:rsidR="00820C57" w:rsidRPr="003B2AB8" w:rsidRDefault="00820C57" w:rsidP="00820C57">
            <w:pPr>
              <w:rPr>
                <w:b/>
                <w:bCs/>
                <w:sz w:val="20"/>
                <w:szCs w:val="20"/>
              </w:rPr>
            </w:pPr>
            <w:r w:rsidRPr="003B2AB8">
              <w:rPr>
                <w:b/>
                <w:bCs/>
                <w:sz w:val="20"/>
                <w:szCs w:val="20"/>
              </w:rPr>
              <w:t>Total</w:t>
            </w:r>
          </w:p>
        </w:tc>
        <w:tc>
          <w:tcPr>
            <w:tcW w:w="0" w:type="auto"/>
            <w:shd w:val="clear" w:color="000000" w:fill="FFFFFF"/>
            <w:noWrap/>
            <w:vAlign w:val="center"/>
            <w:hideMark/>
          </w:tcPr>
          <w:p w14:paraId="0204F8B5" w14:textId="77777777" w:rsidR="00820C57" w:rsidRPr="003B2AB8" w:rsidRDefault="00820C57" w:rsidP="00820C57">
            <w:pPr>
              <w:jc w:val="center"/>
              <w:rPr>
                <w:b/>
                <w:bCs/>
                <w:sz w:val="20"/>
                <w:szCs w:val="20"/>
              </w:rPr>
            </w:pPr>
            <w:r w:rsidRPr="003B2AB8">
              <w:rPr>
                <w:b/>
                <w:bCs/>
                <w:sz w:val="20"/>
                <w:szCs w:val="20"/>
              </w:rPr>
              <w:t>46</w:t>
            </w:r>
          </w:p>
        </w:tc>
        <w:tc>
          <w:tcPr>
            <w:tcW w:w="0" w:type="auto"/>
            <w:shd w:val="clear" w:color="000000" w:fill="FFFFFF"/>
            <w:noWrap/>
            <w:vAlign w:val="center"/>
            <w:hideMark/>
          </w:tcPr>
          <w:p w14:paraId="13C5FAAB" w14:textId="77777777" w:rsidR="00820C57" w:rsidRPr="003B2AB8" w:rsidRDefault="00820C57" w:rsidP="00820C57">
            <w:pPr>
              <w:jc w:val="center"/>
              <w:rPr>
                <w:b/>
                <w:bCs/>
                <w:sz w:val="20"/>
                <w:szCs w:val="20"/>
              </w:rPr>
            </w:pPr>
            <w:r w:rsidRPr="003B2AB8">
              <w:rPr>
                <w:b/>
                <w:bCs/>
                <w:sz w:val="20"/>
                <w:szCs w:val="20"/>
              </w:rPr>
              <w:t>46</w:t>
            </w:r>
          </w:p>
        </w:tc>
        <w:tc>
          <w:tcPr>
            <w:tcW w:w="0" w:type="auto"/>
            <w:shd w:val="clear" w:color="000000" w:fill="FFFFFF"/>
            <w:noWrap/>
            <w:vAlign w:val="center"/>
            <w:hideMark/>
          </w:tcPr>
          <w:p w14:paraId="2D2E2D78" w14:textId="77777777" w:rsidR="00820C57" w:rsidRPr="003B2AB8" w:rsidRDefault="00820C57" w:rsidP="00820C57">
            <w:pPr>
              <w:jc w:val="center"/>
              <w:rPr>
                <w:b/>
                <w:bCs/>
                <w:sz w:val="20"/>
                <w:szCs w:val="20"/>
              </w:rPr>
            </w:pPr>
            <w:r w:rsidRPr="003B2AB8">
              <w:rPr>
                <w:b/>
                <w:bCs/>
                <w:sz w:val="20"/>
                <w:szCs w:val="20"/>
              </w:rPr>
              <w:t>88.6%</w:t>
            </w:r>
          </w:p>
        </w:tc>
        <w:tc>
          <w:tcPr>
            <w:tcW w:w="0" w:type="auto"/>
            <w:shd w:val="clear" w:color="000000" w:fill="FFFFFF"/>
            <w:noWrap/>
            <w:vAlign w:val="center"/>
            <w:hideMark/>
          </w:tcPr>
          <w:p w14:paraId="5F9319AD" w14:textId="77777777" w:rsidR="00820C57" w:rsidRPr="003B2AB8" w:rsidRDefault="00820C57" w:rsidP="00820C57">
            <w:pPr>
              <w:jc w:val="center"/>
              <w:rPr>
                <w:b/>
                <w:bCs/>
                <w:sz w:val="20"/>
                <w:szCs w:val="20"/>
              </w:rPr>
            </w:pPr>
            <w:r w:rsidRPr="003B2AB8">
              <w:rPr>
                <w:b/>
                <w:bCs/>
                <w:sz w:val="20"/>
                <w:szCs w:val="20"/>
              </w:rPr>
              <w:t>8.7%</w:t>
            </w:r>
          </w:p>
        </w:tc>
        <w:tc>
          <w:tcPr>
            <w:tcW w:w="0" w:type="auto"/>
            <w:shd w:val="clear" w:color="000000" w:fill="FFFFFF"/>
            <w:noWrap/>
            <w:vAlign w:val="center"/>
            <w:hideMark/>
          </w:tcPr>
          <w:p w14:paraId="294CEDD2" w14:textId="77777777" w:rsidR="00820C57" w:rsidRPr="003B2AB8" w:rsidRDefault="00820C57" w:rsidP="00820C57">
            <w:pPr>
              <w:jc w:val="center"/>
              <w:rPr>
                <w:b/>
                <w:bCs/>
                <w:sz w:val="20"/>
                <w:szCs w:val="20"/>
              </w:rPr>
            </w:pPr>
            <w:r w:rsidRPr="003B2AB8">
              <w:rPr>
                <w:b/>
                <w:bCs/>
                <w:sz w:val="20"/>
                <w:szCs w:val="20"/>
              </w:rPr>
              <w:t>2.7%</w:t>
            </w:r>
          </w:p>
        </w:tc>
      </w:tr>
    </w:tbl>
    <w:p w14:paraId="183E139B" w14:textId="77777777" w:rsidR="00820C57" w:rsidRPr="003B2AB8" w:rsidRDefault="00820C57" w:rsidP="00820C57">
      <w:pPr>
        <w:rPr>
          <w:sz w:val="20"/>
          <w:szCs w:val="20"/>
        </w:rPr>
      </w:pPr>
    </w:p>
    <w:p w14:paraId="2082D71C" w14:textId="35107942" w:rsidR="00820C57" w:rsidRPr="003B2AB8" w:rsidRDefault="00820C57" w:rsidP="00820C57">
      <w:r w:rsidRPr="003B2AB8">
        <w:t xml:space="preserve">The content review results for </w:t>
      </w:r>
      <w:r w:rsidR="004946BF" w:rsidRPr="003B2AB8">
        <w:t xml:space="preserve">the 2016 grade 8 </w:t>
      </w:r>
      <w:r w:rsidR="008318E9" w:rsidRPr="003B2AB8">
        <w:t xml:space="preserve">reading </w:t>
      </w:r>
      <w:r w:rsidR="004946BF" w:rsidRPr="003B2AB8">
        <w:t xml:space="preserve">STAAR test form </w:t>
      </w:r>
      <w:r w:rsidRPr="003B2AB8">
        <w:t>are presented in Table 4. The number of items included on the test form matched the blueprint overall</w:t>
      </w:r>
      <w:r w:rsidR="00E3485A" w:rsidRPr="003B2AB8">
        <w:t>, as well as</w:t>
      </w:r>
      <w:r w:rsidRPr="003B2AB8">
        <w:t xml:space="preserve"> and when disaggregated by reporting category and standard type.</w:t>
      </w:r>
    </w:p>
    <w:p w14:paraId="568310AE" w14:textId="77777777" w:rsidR="00C03930" w:rsidRPr="003B2AB8" w:rsidRDefault="00C03930" w:rsidP="00820C57"/>
    <w:p w14:paraId="7D23D64C" w14:textId="574E3D3E" w:rsidR="00820C57" w:rsidRPr="003B2AB8" w:rsidRDefault="008318E9" w:rsidP="00820C57">
      <w:r w:rsidRPr="003B2AB8">
        <w:t>The g</w:t>
      </w:r>
      <w:r w:rsidR="00820C57" w:rsidRPr="003B2AB8">
        <w:t xml:space="preserve">rade 8 </w:t>
      </w:r>
      <w:r w:rsidRPr="003B2AB8">
        <w:t xml:space="preserve">reading </w:t>
      </w:r>
      <w:r w:rsidR="00820C57" w:rsidRPr="003B2AB8">
        <w:t xml:space="preserve">assessment </w:t>
      </w:r>
      <w:r w:rsidRPr="003B2AB8">
        <w:t xml:space="preserve">was </w:t>
      </w:r>
      <w:r w:rsidR="00820C57" w:rsidRPr="003B2AB8">
        <w:t>found to be highly aligned to the intended TEKS expectation with an average of approximately 97 percent</w:t>
      </w:r>
      <w:r w:rsidR="00E2363C" w:rsidRPr="003B2AB8">
        <w:t xml:space="preserve"> of items</w:t>
      </w:r>
      <w:r w:rsidR="00820C57" w:rsidRPr="003B2AB8">
        <w:t xml:space="preserve"> r</w:t>
      </w:r>
      <w:r w:rsidR="004946BF" w:rsidRPr="003B2AB8">
        <w:t xml:space="preserve">ated as highly aligned. Overall, only </w:t>
      </w:r>
      <w:r w:rsidR="00820C57" w:rsidRPr="003B2AB8">
        <w:t>one percent</w:t>
      </w:r>
      <w:r w:rsidR="004946BF" w:rsidRPr="003B2AB8">
        <w:t xml:space="preserve"> of items</w:t>
      </w:r>
      <w:r w:rsidR="00820C57" w:rsidRPr="003B2AB8">
        <w:t xml:space="preserve"> were rated </w:t>
      </w:r>
      <w:r w:rsidR="00E3485A" w:rsidRPr="003B2AB8">
        <w:t xml:space="preserve">as </w:t>
      </w:r>
      <w:r w:rsidR="00820C57" w:rsidRPr="003B2AB8">
        <w:t>not aligned. Results were similarly positive when disaggregated by reporting category and standard type.</w:t>
      </w:r>
    </w:p>
    <w:p w14:paraId="62E121CF" w14:textId="77777777" w:rsidR="00820C57" w:rsidRPr="003B2AB8" w:rsidRDefault="00820C57" w:rsidP="00820C57"/>
    <w:p w14:paraId="71DAFA4E" w14:textId="77777777" w:rsidR="00820C57" w:rsidRPr="003B2AB8" w:rsidRDefault="00820C57" w:rsidP="007D0070">
      <w:pPr>
        <w:pStyle w:val="HTable"/>
      </w:pPr>
      <w:bookmarkStart w:id="18" w:name="_Toc446071679"/>
      <w:r w:rsidRPr="003B2AB8">
        <w:t xml:space="preserve">Table 4. Grade 8 </w:t>
      </w:r>
      <w:r w:rsidR="00D91D57" w:rsidRPr="003B2AB8">
        <w:t>R</w:t>
      </w:r>
      <w:r w:rsidRPr="003B2AB8">
        <w:t xml:space="preserve">eading </w:t>
      </w:r>
      <w:r w:rsidR="00FD3F81" w:rsidRPr="003B2AB8">
        <w:t>C</w:t>
      </w:r>
      <w:r w:rsidRPr="003B2AB8">
        <w:t xml:space="preserve">ontent </w:t>
      </w:r>
      <w:r w:rsidR="00FD3F81" w:rsidRPr="003B2AB8">
        <w:t>A</w:t>
      </w:r>
      <w:r w:rsidRPr="003B2AB8">
        <w:t xml:space="preserve">lignment and </w:t>
      </w:r>
      <w:r w:rsidR="00FD3F81" w:rsidRPr="003B2AB8">
        <w:t>B</w:t>
      </w:r>
      <w:r w:rsidRPr="003B2AB8">
        <w:t xml:space="preserve">lueprint </w:t>
      </w:r>
      <w:r w:rsidR="00FD3F81" w:rsidRPr="003B2AB8">
        <w:t>C</w:t>
      </w:r>
      <w:r w:rsidRPr="003B2AB8">
        <w:t xml:space="preserve">onsistency </w:t>
      </w:r>
      <w:r w:rsidR="00FD3F81" w:rsidRPr="003B2AB8">
        <w:t>R</w:t>
      </w:r>
      <w:r w:rsidRPr="003B2AB8">
        <w:t>esults</w:t>
      </w:r>
      <w:bookmarkEnd w:id="18"/>
    </w:p>
    <w:tbl>
      <w:tblPr>
        <w:tblW w:w="0" w:type="auto"/>
        <w:tblInd w:w="93"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left w:w="115" w:type="dxa"/>
          <w:bottom w:w="14" w:type="dxa"/>
          <w:right w:w="115" w:type="dxa"/>
        </w:tblCellMar>
        <w:tblLook w:val="04A0" w:firstRow="1" w:lastRow="0" w:firstColumn="1" w:lastColumn="0" w:noHBand="0" w:noVBand="1"/>
      </w:tblPr>
      <w:tblGrid>
        <w:gridCol w:w="2001"/>
        <w:gridCol w:w="1271"/>
        <w:gridCol w:w="1226"/>
        <w:gridCol w:w="1658"/>
        <w:gridCol w:w="1698"/>
        <w:gridCol w:w="1643"/>
      </w:tblGrid>
      <w:tr w:rsidR="00613A7E" w:rsidRPr="003B2AB8" w14:paraId="65F87236" w14:textId="77777777" w:rsidTr="00613A7E">
        <w:tc>
          <w:tcPr>
            <w:tcW w:w="0" w:type="auto"/>
            <w:tcBorders>
              <w:bottom w:val="single" w:sz="8" w:space="0" w:color="D9D9D9"/>
            </w:tcBorders>
            <w:shd w:val="clear" w:color="000000" w:fill="00528B"/>
            <w:noWrap/>
            <w:vAlign w:val="bottom"/>
            <w:hideMark/>
          </w:tcPr>
          <w:p w14:paraId="78C1890E" w14:textId="77777777" w:rsidR="00820C57" w:rsidRPr="003B2AB8" w:rsidRDefault="00820C57" w:rsidP="00613A7E">
            <w:pPr>
              <w:spacing w:after="40"/>
              <w:rPr>
                <w:color w:val="FFFFFF" w:themeColor="background1"/>
                <w:sz w:val="20"/>
                <w:szCs w:val="20"/>
              </w:rPr>
            </w:pPr>
            <w:r w:rsidRPr="003B2AB8">
              <w:rPr>
                <w:color w:val="FFFFFF" w:themeColor="background1"/>
                <w:sz w:val="20"/>
                <w:szCs w:val="20"/>
              </w:rPr>
              <w:t>Category</w:t>
            </w:r>
          </w:p>
        </w:tc>
        <w:tc>
          <w:tcPr>
            <w:tcW w:w="0" w:type="auto"/>
            <w:tcBorders>
              <w:bottom w:val="single" w:sz="8" w:space="0" w:color="D9D9D9"/>
            </w:tcBorders>
            <w:shd w:val="clear" w:color="000000" w:fill="00528B"/>
            <w:vAlign w:val="bottom"/>
            <w:hideMark/>
          </w:tcPr>
          <w:p w14:paraId="33B3CEB4" w14:textId="77777777" w:rsidR="00820C57" w:rsidRPr="003B2AB8" w:rsidRDefault="00820C57" w:rsidP="00613A7E">
            <w:pPr>
              <w:spacing w:after="40"/>
              <w:jc w:val="center"/>
              <w:rPr>
                <w:color w:val="FFFFFF" w:themeColor="background1"/>
                <w:sz w:val="20"/>
                <w:szCs w:val="20"/>
              </w:rPr>
            </w:pPr>
            <w:r w:rsidRPr="003B2AB8">
              <w:rPr>
                <w:color w:val="FFFFFF" w:themeColor="background1"/>
                <w:sz w:val="20"/>
                <w:szCs w:val="20"/>
              </w:rPr>
              <w:t>Blueprint # Questions</w:t>
            </w:r>
          </w:p>
        </w:tc>
        <w:tc>
          <w:tcPr>
            <w:tcW w:w="0" w:type="auto"/>
            <w:tcBorders>
              <w:bottom w:val="single" w:sz="8" w:space="0" w:color="D9D9D9"/>
            </w:tcBorders>
            <w:shd w:val="clear" w:color="000000" w:fill="00528B"/>
            <w:vAlign w:val="bottom"/>
            <w:hideMark/>
          </w:tcPr>
          <w:p w14:paraId="140DA988" w14:textId="77777777" w:rsidR="00820C57" w:rsidRPr="003B2AB8" w:rsidRDefault="00820C57" w:rsidP="00613A7E">
            <w:pPr>
              <w:spacing w:after="40"/>
              <w:jc w:val="center"/>
              <w:rPr>
                <w:color w:val="FFFFFF" w:themeColor="background1"/>
                <w:sz w:val="20"/>
                <w:szCs w:val="20"/>
              </w:rPr>
            </w:pPr>
            <w:r w:rsidRPr="003B2AB8">
              <w:rPr>
                <w:color w:val="FFFFFF" w:themeColor="background1"/>
                <w:sz w:val="20"/>
                <w:szCs w:val="20"/>
              </w:rPr>
              <w:t>Form # Questions</w:t>
            </w:r>
          </w:p>
        </w:tc>
        <w:tc>
          <w:tcPr>
            <w:tcW w:w="0" w:type="auto"/>
            <w:tcBorders>
              <w:bottom w:val="single" w:sz="8" w:space="0" w:color="D9D9D9"/>
            </w:tcBorders>
            <w:shd w:val="clear" w:color="000000" w:fill="00528B"/>
            <w:vAlign w:val="bottom"/>
            <w:hideMark/>
          </w:tcPr>
          <w:p w14:paraId="6B2D8D96" w14:textId="77777777" w:rsidR="00820C57" w:rsidRPr="003B2AB8" w:rsidRDefault="00820C57" w:rsidP="00613A7E">
            <w:pPr>
              <w:spacing w:after="40"/>
              <w:jc w:val="center"/>
              <w:rPr>
                <w:color w:val="FFFFFF" w:themeColor="background1"/>
                <w:sz w:val="20"/>
                <w:szCs w:val="20"/>
              </w:rPr>
            </w:pPr>
            <w:r w:rsidRPr="003B2AB8">
              <w:rPr>
                <w:color w:val="FFFFFF" w:themeColor="background1"/>
                <w:sz w:val="20"/>
                <w:szCs w:val="20"/>
              </w:rPr>
              <w:t>Average Items Fully Aligned to Expectation</w:t>
            </w:r>
          </w:p>
        </w:tc>
        <w:tc>
          <w:tcPr>
            <w:tcW w:w="0" w:type="auto"/>
            <w:tcBorders>
              <w:bottom w:val="single" w:sz="8" w:space="0" w:color="D9D9D9"/>
            </w:tcBorders>
            <w:shd w:val="clear" w:color="000000" w:fill="00528B"/>
            <w:vAlign w:val="bottom"/>
            <w:hideMark/>
          </w:tcPr>
          <w:p w14:paraId="4D9DA2C3" w14:textId="77777777" w:rsidR="00820C57" w:rsidRPr="003B2AB8" w:rsidRDefault="00820C57" w:rsidP="00613A7E">
            <w:pPr>
              <w:spacing w:after="40"/>
              <w:jc w:val="center"/>
              <w:rPr>
                <w:color w:val="FFFFFF" w:themeColor="background1"/>
                <w:sz w:val="20"/>
                <w:szCs w:val="20"/>
              </w:rPr>
            </w:pPr>
            <w:r w:rsidRPr="003B2AB8">
              <w:rPr>
                <w:color w:val="FFFFFF" w:themeColor="background1"/>
                <w:sz w:val="20"/>
                <w:szCs w:val="20"/>
              </w:rPr>
              <w:t>Average Items Partially Aligned to Expectation</w:t>
            </w:r>
          </w:p>
        </w:tc>
        <w:tc>
          <w:tcPr>
            <w:tcW w:w="0" w:type="auto"/>
            <w:tcBorders>
              <w:bottom w:val="single" w:sz="8" w:space="0" w:color="D9D9D9"/>
            </w:tcBorders>
            <w:shd w:val="clear" w:color="000000" w:fill="00528B"/>
            <w:vAlign w:val="bottom"/>
            <w:hideMark/>
          </w:tcPr>
          <w:p w14:paraId="3379E2A4" w14:textId="77777777" w:rsidR="00820C57" w:rsidRPr="003B2AB8" w:rsidRDefault="00820C57" w:rsidP="00613A7E">
            <w:pPr>
              <w:spacing w:after="40"/>
              <w:jc w:val="center"/>
              <w:rPr>
                <w:color w:val="FFFFFF" w:themeColor="background1"/>
                <w:sz w:val="20"/>
                <w:szCs w:val="20"/>
              </w:rPr>
            </w:pPr>
            <w:r w:rsidRPr="003B2AB8">
              <w:rPr>
                <w:color w:val="FFFFFF" w:themeColor="background1"/>
                <w:sz w:val="20"/>
                <w:szCs w:val="20"/>
              </w:rPr>
              <w:t>Average Items Not Aligned to Expectation</w:t>
            </w:r>
          </w:p>
        </w:tc>
      </w:tr>
      <w:tr w:rsidR="00613A7E" w:rsidRPr="003B2AB8" w14:paraId="19EECFD5" w14:textId="77777777" w:rsidTr="00613A7E">
        <w:tc>
          <w:tcPr>
            <w:tcW w:w="0" w:type="auto"/>
            <w:gridSpan w:val="6"/>
            <w:shd w:val="clear" w:color="000000" w:fill="0080BA"/>
            <w:noWrap/>
            <w:vAlign w:val="center"/>
            <w:hideMark/>
          </w:tcPr>
          <w:p w14:paraId="07426A25" w14:textId="77777777" w:rsidR="00820C57" w:rsidRPr="003B2AB8" w:rsidRDefault="00820C57" w:rsidP="00613A7E">
            <w:pPr>
              <w:jc w:val="center"/>
              <w:rPr>
                <w:bCs/>
                <w:color w:val="FFFFFF" w:themeColor="background1"/>
                <w:sz w:val="20"/>
                <w:szCs w:val="20"/>
              </w:rPr>
            </w:pPr>
            <w:r w:rsidRPr="003B2AB8">
              <w:rPr>
                <w:bCs/>
                <w:color w:val="FFFFFF" w:themeColor="background1"/>
                <w:sz w:val="20"/>
                <w:szCs w:val="20"/>
              </w:rPr>
              <w:t>Reporting Category</w:t>
            </w:r>
          </w:p>
        </w:tc>
      </w:tr>
      <w:tr w:rsidR="00820C57" w:rsidRPr="003B2AB8" w14:paraId="764AC529" w14:textId="77777777" w:rsidTr="00613A7E">
        <w:trPr>
          <w:trHeight w:val="300"/>
        </w:trPr>
        <w:tc>
          <w:tcPr>
            <w:tcW w:w="0" w:type="auto"/>
            <w:shd w:val="clear" w:color="000000" w:fill="BFBFBF"/>
            <w:vAlign w:val="center"/>
            <w:hideMark/>
          </w:tcPr>
          <w:p w14:paraId="79A7CF4E" w14:textId="77777777" w:rsidR="00820C57" w:rsidRPr="003B2AB8" w:rsidRDefault="00820C57" w:rsidP="004946BF">
            <w:pPr>
              <w:rPr>
                <w:sz w:val="20"/>
                <w:szCs w:val="20"/>
              </w:rPr>
            </w:pPr>
            <w:r w:rsidRPr="003B2AB8">
              <w:rPr>
                <w:sz w:val="20"/>
                <w:szCs w:val="20"/>
              </w:rPr>
              <w:t>1: Understanding/ Analysis Across Genres</w:t>
            </w:r>
          </w:p>
        </w:tc>
        <w:tc>
          <w:tcPr>
            <w:tcW w:w="0" w:type="auto"/>
            <w:shd w:val="clear" w:color="000000" w:fill="FFFFFF"/>
            <w:noWrap/>
            <w:vAlign w:val="center"/>
            <w:hideMark/>
          </w:tcPr>
          <w:p w14:paraId="35C8D4A1" w14:textId="77777777" w:rsidR="00820C57" w:rsidRPr="003B2AB8" w:rsidRDefault="00820C57" w:rsidP="004946BF">
            <w:pPr>
              <w:jc w:val="center"/>
              <w:rPr>
                <w:sz w:val="20"/>
                <w:szCs w:val="20"/>
              </w:rPr>
            </w:pPr>
            <w:r w:rsidRPr="003B2AB8">
              <w:rPr>
                <w:sz w:val="20"/>
                <w:szCs w:val="20"/>
              </w:rPr>
              <w:t>10</w:t>
            </w:r>
          </w:p>
        </w:tc>
        <w:tc>
          <w:tcPr>
            <w:tcW w:w="0" w:type="auto"/>
            <w:shd w:val="clear" w:color="000000" w:fill="FFFFFF"/>
            <w:noWrap/>
            <w:vAlign w:val="center"/>
            <w:hideMark/>
          </w:tcPr>
          <w:p w14:paraId="7491F08A" w14:textId="77777777" w:rsidR="00820C57" w:rsidRPr="003B2AB8" w:rsidRDefault="00820C57" w:rsidP="004946BF">
            <w:pPr>
              <w:jc w:val="center"/>
              <w:rPr>
                <w:sz w:val="20"/>
                <w:szCs w:val="20"/>
              </w:rPr>
            </w:pPr>
            <w:r w:rsidRPr="003B2AB8">
              <w:rPr>
                <w:sz w:val="20"/>
                <w:szCs w:val="20"/>
              </w:rPr>
              <w:t>10</w:t>
            </w:r>
          </w:p>
        </w:tc>
        <w:tc>
          <w:tcPr>
            <w:tcW w:w="0" w:type="auto"/>
            <w:shd w:val="clear" w:color="000000" w:fill="FFFFFF"/>
            <w:noWrap/>
            <w:vAlign w:val="center"/>
            <w:hideMark/>
          </w:tcPr>
          <w:p w14:paraId="1DC5C5FC" w14:textId="77777777" w:rsidR="00820C57" w:rsidRPr="003B2AB8" w:rsidRDefault="00820C57" w:rsidP="004946BF">
            <w:pPr>
              <w:jc w:val="center"/>
              <w:rPr>
                <w:sz w:val="20"/>
                <w:szCs w:val="20"/>
              </w:rPr>
            </w:pPr>
            <w:r w:rsidRPr="003B2AB8">
              <w:rPr>
                <w:sz w:val="20"/>
                <w:szCs w:val="20"/>
              </w:rPr>
              <w:t>100.0%</w:t>
            </w:r>
          </w:p>
        </w:tc>
        <w:tc>
          <w:tcPr>
            <w:tcW w:w="0" w:type="auto"/>
            <w:shd w:val="clear" w:color="000000" w:fill="FFFFFF"/>
            <w:noWrap/>
            <w:vAlign w:val="center"/>
            <w:hideMark/>
          </w:tcPr>
          <w:p w14:paraId="47492518" w14:textId="77777777" w:rsidR="00820C57" w:rsidRPr="003B2AB8" w:rsidRDefault="00820C57" w:rsidP="004946BF">
            <w:pPr>
              <w:jc w:val="center"/>
              <w:rPr>
                <w:sz w:val="20"/>
                <w:szCs w:val="20"/>
              </w:rPr>
            </w:pPr>
            <w:r w:rsidRPr="003B2AB8">
              <w:rPr>
                <w:sz w:val="20"/>
                <w:szCs w:val="20"/>
              </w:rPr>
              <w:t>0.0%</w:t>
            </w:r>
          </w:p>
        </w:tc>
        <w:tc>
          <w:tcPr>
            <w:tcW w:w="0" w:type="auto"/>
            <w:shd w:val="clear" w:color="000000" w:fill="FFFFFF"/>
            <w:noWrap/>
            <w:vAlign w:val="center"/>
            <w:hideMark/>
          </w:tcPr>
          <w:p w14:paraId="5C20EDAC" w14:textId="77777777" w:rsidR="00820C57" w:rsidRPr="003B2AB8" w:rsidRDefault="00820C57" w:rsidP="004946BF">
            <w:pPr>
              <w:jc w:val="center"/>
              <w:rPr>
                <w:sz w:val="20"/>
                <w:szCs w:val="20"/>
              </w:rPr>
            </w:pPr>
            <w:r w:rsidRPr="003B2AB8">
              <w:rPr>
                <w:sz w:val="20"/>
                <w:szCs w:val="20"/>
              </w:rPr>
              <w:t>0.0%</w:t>
            </w:r>
          </w:p>
        </w:tc>
      </w:tr>
      <w:tr w:rsidR="00820C57" w:rsidRPr="003B2AB8" w14:paraId="656EB823" w14:textId="77777777" w:rsidTr="00613A7E">
        <w:trPr>
          <w:trHeight w:val="570"/>
        </w:trPr>
        <w:tc>
          <w:tcPr>
            <w:tcW w:w="0" w:type="auto"/>
            <w:shd w:val="clear" w:color="000000" w:fill="BFBFBF"/>
            <w:vAlign w:val="center"/>
            <w:hideMark/>
          </w:tcPr>
          <w:p w14:paraId="2D7AA264" w14:textId="77777777" w:rsidR="00820C57" w:rsidRPr="003B2AB8" w:rsidRDefault="00820C57" w:rsidP="004946BF">
            <w:pPr>
              <w:rPr>
                <w:sz w:val="20"/>
                <w:szCs w:val="20"/>
              </w:rPr>
            </w:pPr>
            <w:r w:rsidRPr="003B2AB8">
              <w:rPr>
                <w:sz w:val="20"/>
                <w:szCs w:val="20"/>
              </w:rPr>
              <w:t>2: Understanding/ Analysis of Literary Texts</w:t>
            </w:r>
          </w:p>
        </w:tc>
        <w:tc>
          <w:tcPr>
            <w:tcW w:w="0" w:type="auto"/>
            <w:shd w:val="clear" w:color="000000" w:fill="FFFFFF"/>
            <w:noWrap/>
            <w:vAlign w:val="center"/>
            <w:hideMark/>
          </w:tcPr>
          <w:p w14:paraId="54B4B0C4" w14:textId="77777777" w:rsidR="00820C57" w:rsidRPr="003B2AB8" w:rsidRDefault="00820C57" w:rsidP="004946BF">
            <w:pPr>
              <w:jc w:val="center"/>
              <w:rPr>
                <w:sz w:val="20"/>
                <w:szCs w:val="20"/>
              </w:rPr>
            </w:pPr>
            <w:r w:rsidRPr="003B2AB8">
              <w:rPr>
                <w:sz w:val="20"/>
                <w:szCs w:val="20"/>
              </w:rPr>
              <w:t>22</w:t>
            </w:r>
          </w:p>
        </w:tc>
        <w:tc>
          <w:tcPr>
            <w:tcW w:w="0" w:type="auto"/>
            <w:shd w:val="clear" w:color="000000" w:fill="FFFFFF"/>
            <w:noWrap/>
            <w:vAlign w:val="center"/>
            <w:hideMark/>
          </w:tcPr>
          <w:p w14:paraId="32EE3242" w14:textId="77777777" w:rsidR="00820C57" w:rsidRPr="003B2AB8" w:rsidRDefault="00820C57" w:rsidP="004946BF">
            <w:pPr>
              <w:jc w:val="center"/>
              <w:rPr>
                <w:sz w:val="20"/>
                <w:szCs w:val="20"/>
              </w:rPr>
            </w:pPr>
            <w:r w:rsidRPr="003B2AB8">
              <w:rPr>
                <w:sz w:val="20"/>
                <w:szCs w:val="20"/>
              </w:rPr>
              <w:t>22</w:t>
            </w:r>
          </w:p>
        </w:tc>
        <w:tc>
          <w:tcPr>
            <w:tcW w:w="0" w:type="auto"/>
            <w:shd w:val="clear" w:color="000000" w:fill="FFFFFF"/>
            <w:noWrap/>
            <w:vAlign w:val="center"/>
            <w:hideMark/>
          </w:tcPr>
          <w:p w14:paraId="770AECC2" w14:textId="77777777" w:rsidR="00820C57" w:rsidRPr="003B2AB8" w:rsidRDefault="00820C57" w:rsidP="004946BF">
            <w:pPr>
              <w:jc w:val="center"/>
              <w:rPr>
                <w:sz w:val="20"/>
                <w:szCs w:val="20"/>
              </w:rPr>
            </w:pPr>
            <w:r w:rsidRPr="003B2AB8">
              <w:rPr>
                <w:sz w:val="20"/>
                <w:szCs w:val="20"/>
              </w:rPr>
              <w:t>96.6%</w:t>
            </w:r>
          </w:p>
        </w:tc>
        <w:tc>
          <w:tcPr>
            <w:tcW w:w="0" w:type="auto"/>
            <w:shd w:val="clear" w:color="000000" w:fill="FFFFFF"/>
            <w:noWrap/>
            <w:vAlign w:val="center"/>
            <w:hideMark/>
          </w:tcPr>
          <w:p w14:paraId="7929C60F" w14:textId="77777777" w:rsidR="00820C57" w:rsidRPr="003B2AB8" w:rsidRDefault="00820C57" w:rsidP="004946BF">
            <w:pPr>
              <w:jc w:val="center"/>
              <w:rPr>
                <w:sz w:val="20"/>
                <w:szCs w:val="20"/>
              </w:rPr>
            </w:pPr>
            <w:r w:rsidRPr="003B2AB8">
              <w:rPr>
                <w:sz w:val="20"/>
                <w:szCs w:val="20"/>
              </w:rPr>
              <w:t>3.4%</w:t>
            </w:r>
          </w:p>
        </w:tc>
        <w:tc>
          <w:tcPr>
            <w:tcW w:w="0" w:type="auto"/>
            <w:shd w:val="clear" w:color="000000" w:fill="FFFFFF"/>
            <w:noWrap/>
            <w:vAlign w:val="center"/>
            <w:hideMark/>
          </w:tcPr>
          <w:p w14:paraId="52A029C1" w14:textId="77777777" w:rsidR="00820C57" w:rsidRPr="003B2AB8" w:rsidRDefault="00820C57" w:rsidP="004946BF">
            <w:pPr>
              <w:jc w:val="center"/>
              <w:rPr>
                <w:sz w:val="20"/>
                <w:szCs w:val="20"/>
              </w:rPr>
            </w:pPr>
            <w:r w:rsidRPr="003B2AB8">
              <w:rPr>
                <w:sz w:val="20"/>
                <w:szCs w:val="20"/>
              </w:rPr>
              <w:t>0.0%</w:t>
            </w:r>
          </w:p>
        </w:tc>
      </w:tr>
      <w:tr w:rsidR="00820C57" w:rsidRPr="003B2AB8" w14:paraId="7B8C61F6" w14:textId="77777777" w:rsidTr="00613A7E">
        <w:trPr>
          <w:trHeight w:val="570"/>
        </w:trPr>
        <w:tc>
          <w:tcPr>
            <w:tcW w:w="0" w:type="auto"/>
            <w:tcBorders>
              <w:bottom w:val="single" w:sz="8" w:space="0" w:color="D9D9D9"/>
            </w:tcBorders>
            <w:shd w:val="clear" w:color="000000" w:fill="BFBFBF"/>
            <w:vAlign w:val="center"/>
            <w:hideMark/>
          </w:tcPr>
          <w:p w14:paraId="639B0D8D" w14:textId="77777777" w:rsidR="00820C57" w:rsidRPr="003B2AB8" w:rsidRDefault="00820C57" w:rsidP="004946BF">
            <w:pPr>
              <w:rPr>
                <w:sz w:val="20"/>
                <w:szCs w:val="20"/>
              </w:rPr>
            </w:pPr>
            <w:r w:rsidRPr="003B2AB8">
              <w:rPr>
                <w:sz w:val="20"/>
                <w:szCs w:val="20"/>
              </w:rPr>
              <w:t>3: Understanding/ Analysis of Informational Texts</w:t>
            </w:r>
          </w:p>
        </w:tc>
        <w:tc>
          <w:tcPr>
            <w:tcW w:w="0" w:type="auto"/>
            <w:tcBorders>
              <w:bottom w:val="single" w:sz="8" w:space="0" w:color="D9D9D9"/>
            </w:tcBorders>
            <w:shd w:val="clear" w:color="000000" w:fill="FFFFFF"/>
            <w:noWrap/>
            <w:vAlign w:val="center"/>
            <w:hideMark/>
          </w:tcPr>
          <w:p w14:paraId="4E63B735" w14:textId="77777777" w:rsidR="00820C57" w:rsidRPr="003B2AB8" w:rsidRDefault="00820C57" w:rsidP="004946BF">
            <w:pPr>
              <w:jc w:val="center"/>
              <w:rPr>
                <w:sz w:val="20"/>
                <w:szCs w:val="20"/>
              </w:rPr>
            </w:pPr>
            <w:r w:rsidRPr="003B2AB8">
              <w:rPr>
                <w:sz w:val="20"/>
                <w:szCs w:val="20"/>
              </w:rPr>
              <w:t>20</w:t>
            </w:r>
          </w:p>
        </w:tc>
        <w:tc>
          <w:tcPr>
            <w:tcW w:w="0" w:type="auto"/>
            <w:tcBorders>
              <w:bottom w:val="single" w:sz="8" w:space="0" w:color="D9D9D9"/>
            </w:tcBorders>
            <w:shd w:val="clear" w:color="000000" w:fill="FFFFFF"/>
            <w:noWrap/>
            <w:vAlign w:val="center"/>
            <w:hideMark/>
          </w:tcPr>
          <w:p w14:paraId="6278560D" w14:textId="77777777" w:rsidR="00820C57" w:rsidRPr="003B2AB8" w:rsidRDefault="00820C57" w:rsidP="004946BF">
            <w:pPr>
              <w:jc w:val="center"/>
              <w:rPr>
                <w:sz w:val="20"/>
                <w:szCs w:val="20"/>
              </w:rPr>
            </w:pPr>
            <w:r w:rsidRPr="003B2AB8">
              <w:rPr>
                <w:sz w:val="20"/>
                <w:szCs w:val="20"/>
              </w:rPr>
              <w:t>20</w:t>
            </w:r>
          </w:p>
        </w:tc>
        <w:tc>
          <w:tcPr>
            <w:tcW w:w="0" w:type="auto"/>
            <w:tcBorders>
              <w:bottom w:val="single" w:sz="8" w:space="0" w:color="D9D9D9"/>
            </w:tcBorders>
            <w:shd w:val="clear" w:color="000000" w:fill="FFFFFF"/>
            <w:noWrap/>
            <w:vAlign w:val="center"/>
            <w:hideMark/>
          </w:tcPr>
          <w:p w14:paraId="3D8A1CD8" w14:textId="77777777" w:rsidR="00820C57" w:rsidRPr="003B2AB8" w:rsidRDefault="00820C57" w:rsidP="004946BF">
            <w:pPr>
              <w:jc w:val="center"/>
              <w:rPr>
                <w:sz w:val="20"/>
                <w:szCs w:val="20"/>
              </w:rPr>
            </w:pPr>
            <w:r w:rsidRPr="003B2AB8">
              <w:rPr>
                <w:sz w:val="20"/>
                <w:szCs w:val="20"/>
              </w:rPr>
              <w:t>95.0%</w:t>
            </w:r>
          </w:p>
        </w:tc>
        <w:tc>
          <w:tcPr>
            <w:tcW w:w="0" w:type="auto"/>
            <w:tcBorders>
              <w:bottom w:val="single" w:sz="8" w:space="0" w:color="D9D9D9"/>
            </w:tcBorders>
            <w:shd w:val="clear" w:color="000000" w:fill="FFFFFF"/>
            <w:noWrap/>
            <w:vAlign w:val="center"/>
            <w:hideMark/>
          </w:tcPr>
          <w:p w14:paraId="7681686D" w14:textId="77777777" w:rsidR="00820C57" w:rsidRPr="003B2AB8" w:rsidRDefault="00820C57" w:rsidP="004946BF">
            <w:pPr>
              <w:jc w:val="center"/>
              <w:rPr>
                <w:sz w:val="20"/>
                <w:szCs w:val="20"/>
              </w:rPr>
            </w:pPr>
            <w:r w:rsidRPr="003B2AB8">
              <w:rPr>
                <w:sz w:val="20"/>
                <w:szCs w:val="20"/>
              </w:rPr>
              <w:t>2.5%</w:t>
            </w:r>
          </w:p>
        </w:tc>
        <w:tc>
          <w:tcPr>
            <w:tcW w:w="0" w:type="auto"/>
            <w:tcBorders>
              <w:bottom w:val="single" w:sz="8" w:space="0" w:color="D9D9D9"/>
            </w:tcBorders>
            <w:shd w:val="clear" w:color="000000" w:fill="FFFFFF"/>
            <w:noWrap/>
            <w:vAlign w:val="center"/>
            <w:hideMark/>
          </w:tcPr>
          <w:p w14:paraId="5D901542" w14:textId="77777777" w:rsidR="00820C57" w:rsidRPr="003B2AB8" w:rsidRDefault="00820C57" w:rsidP="004946BF">
            <w:pPr>
              <w:jc w:val="center"/>
              <w:rPr>
                <w:sz w:val="20"/>
                <w:szCs w:val="20"/>
              </w:rPr>
            </w:pPr>
            <w:r w:rsidRPr="003B2AB8">
              <w:rPr>
                <w:sz w:val="20"/>
                <w:szCs w:val="20"/>
              </w:rPr>
              <w:t>2.5%</w:t>
            </w:r>
          </w:p>
        </w:tc>
      </w:tr>
      <w:tr w:rsidR="00613A7E" w:rsidRPr="003B2AB8" w14:paraId="6387AB61" w14:textId="77777777" w:rsidTr="00613A7E">
        <w:tc>
          <w:tcPr>
            <w:tcW w:w="0" w:type="auto"/>
            <w:gridSpan w:val="6"/>
            <w:shd w:val="clear" w:color="000000" w:fill="0080BA"/>
            <w:vAlign w:val="center"/>
            <w:hideMark/>
          </w:tcPr>
          <w:p w14:paraId="5397042A" w14:textId="77777777" w:rsidR="00820C57" w:rsidRPr="003B2AB8" w:rsidRDefault="00820C57" w:rsidP="00613A7E">
            <w:pPr>
              <w:jc w:val="center"/>
              <w:rPr>
                <w:bCs/>
                <w:color w:val="FFFFFF" w:themeColor="background1"/>
                <w:sz w:val="20"/>
                <w:szCs w:val="20"/>
              </w:rPr>
            </w:pPr>
            <w:r w:rsidRPr="003B2AB8">
              <w:rPr>
                <w:bCs/>
                <w:color w:val="FFFFFF" w:themeColor="background1"/>
                <w:sz w:val="20"/>
                <w:szCs w:val="20"/>
              </w:rPr>
              <w:t>Standard Type</w:t>
            </w:r>
          </w:p>
        </w:tc>
      </w:tr>
      <w:tr w:rsidR="00820C57" w:rsidRPr="003B2AB8" w14:paraId="74BF44C4" w14:textId="77777777" w:rsidTr="00613A7E">
        <w:trPr>
          <w:trHeight w:val="285"/>
        </w:trPr>
        <w:tc>
          <w:tcPr>
            <w:tcW w:w="0" w:type="auto"/>
            <w:shd w:val="clear" w:color="000000" w:fill="BFBFBF"/>
            <w:vAlign w:val="center"/>
            <w:hideMark/>
          </w:tcPr>
          <w:p w14:paraId="66C68632" w14:textId="77777777" w:rsidR="00820C57" w:rsidRPr="003B2AB8" w:rsidRDefault="00820C57" w:rsidP="004946BF">
            <w:pPr>
              <w:rPr>
                <w:sz w:val="20"/>
                <w:szCs w:val="20"/>
              </w:rPr>
            </w:pPr>
            <w:r w:rsidRPr="003B2AB8">
              <w:rPr>
                <w:sz w:val="20"/>
                <w:szCs w:val="20"/>
              </w:rPr>
              <w:t>Readiness Standards</w:t>
            </w:r>
          </w:p>
        </w:tc>
        <w:tc>
          <w:tcPr>
            <w:tcW w:w="0" w:type="auto"/>
            <w:shd w:val="clear" w:color="000000" w:fill="FFFFFF"/>
            <w:noWrap/>
            <w:vAlign w:val="center"/>
            <w:hideMark/>
          </w:tcPr>
          <w:p w14:paraId="691723D3" w14:textId="77777777" w:rsidR="00820C57" w:rsidRPr="003B2AB8" w:rsidRDefault="00820C57" w:rsidP="004946BF">
            <w:pPr>
              <w:jc w:val="center"/>
              <w:rPr>
                <w:sz w:val="20"/>
                <w:szCs w:val="20"/>
              </w:rPr>
            </w:pPr>
            <w:r w:rsidRPr="003B2AB8">
              <w:rPr>
                <w:sz w:val="20"/>
                <w:szCs w:val="20"/>
              </w:rPr>
              <w:t>31-36</w:t>
            </w:r>
          </w:p>
        </w:tc>
        <w:tc>
          <w:tcPr>
            <w:tcW w:w="0" w:type="auto"/>
            <w:shd w:val="clear" w:color="000000" w:fill="FFFFFF"/>
            <w:noWrap/>
            <w:vAlign w:val="center"/>
            <w:hideMark/>
          </w:tcPr>
          <w:p w14:paraId="37C63290" w14:textId="77777777" w:rsidR="00820C57" w:rsidRPr="003B2AB8" w:rsidRDefault="00820C57" w:rsidP="004946BF">
            <w:pPr>
              <w:jc w:val="center"/>
              <w:rPr>
                <w:sz w:val="20"/>
                <w:szCs w:val="20"/>
              </w:rPr>
            </w:pPr>
            <w:r w:rsidRPr="003B2AB8">
              <w:rPr>
                <w:sz w:val="20"/>
                <w:szCs w:val="20"/>
              </w:rPr>
              <w:t>32</w:t>
            </w:r>
          </w:p>
        </w:tc>
        <w:tc>
          <w:tcPr>
            <w:tcW w:w="0" w:type="auto"/>
            <w:shd w:val="clear" w:color="000000" w:fill="FFFFFF"/>
            <w:noWrap/>
            <w:vAlign w:val="center"/>
            <w:hideMark/>
          </w:tcPr>
          <w:p w14:paraId="498EA125" w14:textId="77777777" w:rsidR="00820C57" w:rsidRPr="003B2AB8" w:rsidRDefault="00820C57" w:rsidP="004946BF">
            <w:pPr>
              <w:jc w:val="center"/>
              <w:rPr>
                <w:sz w:val="20"/>
                <w:szCs w:val="20"/>
              </w:rPr>
            </w:pPr>
            <w:r w:rsidRPr="003B2AB8">
              <w:rPr>
                <w:sz w:val="20"/>
                <w:szCs w:val="20"/>
              </w:rPr>
              <w:t>96.9%</w:t>
            </w:r>
          </w:p>
        </w:tc>
        <w:tc>
          <w:tcPr>
            <w:tcW w:w="0" w:type="auto"/>
            <w:shd w:val="clear" w:color="000000" w:fill="FFFFFF"/>
            <w:noWrap/>
            <w:vAlign w:val="center"/>
            <w:hideMark/>
          </w:tcPr>
          <w:p w14:paraId="7FC8D251" w14:textId="77777777" w:rsidR="00820C57" w:rsidRPr="003B2AB8" w:rsidRDefault="00820C57" w:rsidP="004946BF">
            <w:pPr>
              <w:jc w:val="center"/>
              <w:rPr>
                <w:sz w:val="20"/>
                <w:szCs w:val="20"/>
              </w:rPr>
            </w:pPr>
            <w:r w:rsidRPr="003B2AB8">
              <w:rPr>
                <w:sz w:val="20"/>
                <w:szCs w:val="20"/>
              </w:rPr>
              <w:t>3.1%</w:t>
            </w:r>
          </w:p>
        </w:tc>
        <w:tc>
          <w:tcPr>
            <w:tcW w:w="0" w:type="auto"/>
            <w:shd w:val="clear" w:color="000000" w:fill="FFFFFF"/>
            <w:noWrap/>
            <w:vAlign w:val="center"/>
            <w:hideMark/>
          </w:tcPr>
          <w:p w14:paraId="56397160" w14:textId="77777777" w:rsidR="00820C57" w:rsidRPr="003B2AB8" w:rsidRDefault="00820C57" w:rsidP="004946BF">
            <w:pPr>
              <w:jc w:val="center"/>
              <w:rPr>
                <w:sz w:val="20"/>
                <w:szCs w:val="20"/>
              </w:rPr>
            </w:pPr>
            <w:r w:rsidRPr="003B2AB8">
              <w:rPr>
                <w:sz w:val="20"/>
                <w:szCs w:val="20"/>
              </w:rPr>
              <w:t>0.0%</w:t>
            </w:r>
          </w:p>
        </w:tc>
      </w:tr>
      <w:tr w:rsidR="00820C57" w:rsidRPr="003B2AB8" w14:paraId="45D61D7E" w14:textId="77777777" w:rsidTr="00613A7E">
        <w:trPr>
          <w:trHeight w:val="285"/>
        </w:trPr>
        <w:tc>
          <w:tcPr>
            <w:tcW w:w="0" w:type="auto"/>
            <w:shd w:val="clear" w:color="000000" w:fill="BFBFBF"/>
            <w:vAlign w:val="center"/>
            <w:hideMark/>
          </w:tcPr>
          <w:p w14:paraId="68BE0BB0" w14:textId="77777777" w:rsidR="00820C57" w:rsidRPr="003B2AB8" w:rsidRDefault="00820C57" w:rsidP="004946BF">
            <w:pPr>
              <w:rPr>
                <w:sz w:val="20"/>
                <w:szCs w:val="20"/>
              </w:rPr>
            </w:pPr>
            <w:r w:rsidRPr="003B2AB8">
              <w:rPr>
                <w:sz w:val="20"/>
                <w:szCs w:val="20"/>
              </w:rPr>
              <w:t>Supporting Standards</w:t>
            </w:r>
          </w:p>
        </w:tc>
        <w:tc>
          <w:tcPr>
            <w:tcW w:w="0" w:type="auto"/>
            <w:shd w:val="clear" w:color="000000" w:fill="FFFFFF"/>
            <w:noWrap/>
            <w:vAlign w:val="center"/>
            <w:hideMark/>
          </w:tcPr>
          <w:p w14:paraId="5DD33BC6" w14:textId="77777777" w:rsidR="00820C57" w:rsidRPr="003B2AB8" w:rsidRDefault="00820C57" w:rsidP="004946BF">
            <w:pPr>
              <w:jc w:val="center"/>
              <w:rPr>
                <w:sz w:val="20"/>
                <w:szCs w:val="20"/>
              </w:rPr>
            </w:pPr>
            <w:r w:rsidRPr="003B2AB8">
              <w:rPr>
                <w:sz w:val="20"/>
                <w:szCs w:val="20"/>
              </w:rPr>
              <w:t>16-21</w:t>
            </w:r>
          </w:p>
        </w:tc>
        <w:tc>
          <w:tcPr>
            <w:tcW w:w="0" w:type="auto"/>
            <w:shd w:val="clear" w:color="000000" w:fill="FFFFFF"/>
            <w:noWrap/>
            <w:vAlign w:val="center"/>
            <w:hideMark/>
          </w:tcPr>
          <w:p w14:paraId="0BA8F6CC" w14:textId="77777777" w:rsidR="00820C57" w:rsidRPr="003B2AB8" w:rsidRDefault="00820C57" w:rsidP="004946BF">
            <w:pPr>
              <w:jc w:val="center"/>
              <w:rPr>
                <w:sz w:val="20"/>
                <w:szCs w:val="20"/>
              </w:rPr>
            </w:pPr>
            <w:r w:rsidRPr="003B2AB8">
              <w:rPr>
                <w:sz w:val="20"/>
                <w:szCs w:val="20"/>
              </w:rPr>
              <w:t>20</w:t>
            </w:r>
          </w:p>
        </w:tc>
        <w:tc>
          <w:tcPr>
            <w:tcW w:w="0" w:type="auto"/>
            <w:shd w:val="clear" w:color="000000" w:fill="FFFFFF"/>
            <w:noWrap/>
            <w:vAlign w:val="center"/>
            <w:hideMark/>
          </w:tcPr>
          <w:p w14:paraId="6C1097BE" w14:textId="77777777" w:rsidR="00820C57" w:rsidRPr="003B2AB8" w:rsidRDefault="00820C57" w:rsidP="004946BF">
            <w:pPr>
              <w:jc w:val="center"/>
              <w:rPr>
                <w:sz w:val="20"/>
                <w:szCs w:val="20"/>
              </w:rPr>
            </w:pPr>
            <w:r w:rsidRPr="003B2AB8">
              <w:rPr>
                <w:sz w:val="20"/>
                <w:szCs w:val="20"/>
              </w:rPr>
              <w:t>96.3%</w:t>
            </w:r>
          </w:p>
        </w:tc>
        <w:tc>
          <w:tcPr>
            <w:tcW w:w="0" w:type="auto"/>
            <w:shd w:val="clear" w:color="000000" w:fill="FFFFFF"/>
            <w:noWrap/>
            <w:vAlign w:val="center"/>
            <w:hideMark/>
          </w:tcPr>
          <w:p w14:paraId="539A5799" w14:textId="77777777" w:rsidR="00820C57" w:rsidRPr="003B2AB8" w:rsidRDefault="00820C57" w:rsidP="004946BF">
            <w:pPr>
              <w:jc w:val="center"/>
              <w:rPr>
                <w:sz w:val="20"/>
                <w:szCs w:val="20"/>
              </w:rPr>
            </w:pPr>
            <w:r w:rsidRPr="003B2AB8">
              <w:rPr>
                <w:sz w:val="20"/>
                <w:szCs w:val="20"/>
              </w:rPr>
              <w:t>1.3%</w:t>
            </w:r>
          </w:p>
        </w:tc>
        <w:tc>
          <w:tcPr>
            <w:tcW w:w="0" w:type="auto"/>
            <w:shd w:val="clear" w:color="000000" w:fill="FFFFFF"/>
            <w:noWrap/>
            <w:vAlign w:val="center"/>
            <w:hideMark/>
          </w:tcPr>
          <w:p w14:paraId="631F60EC" w14:textId="77777777" w:rsidR="00820C57" w:rsidRPr="003B2AB8" w:rsidRDefault="00820C57" w:rsidP="004946BF">
            <w:pPr>
              <w:jc w:val="center"/>
              <w:rPr>
                <w:sz w:val="20"/>
                <w:szCs w:val="20"/>
              </w:rPr>
            </w:pPr>
            <w:r w:rsidRPr="003B2AB8">
              <w:rPr>
                <w:sz w:val="20"/>
                <w:szCs w:val="20"/>
              </w:rPr>
              <w:t>2.5%</w:t>
            </w:r>
          </w:p>
        </w:tc>
      </w:tr>
      <w:tr w:rsidR="00820C57" w:rsidRPr="003B2AB8" w14:paraId="241CD664" w14:textId="77777777" w:rsidTr="00613A7E">
        <w:trPr>
          <w:trHeight w:val="300"/>
        </w:trPr>
        <w:tc>
          <w:tcPr>
            <w:tcW w:w="0" w:type="auto"/>
            <w:shd w:val="clear" w:color="000000" w:fill="BFBFBF"/>
            <w:vAlign w:val="center"/>
            <w:hideMark/>
          </w:tcPr>
          <w:p w14:paraId="423649DC" w14:textId="77777777" w:rsidR="00820C57" w:rsidRPr="003B2AB8" w:rsidRDefault="00820C57" w:rsidP="004946BF">
            <w:pPr>
              <w:rPr>
                <w:b/>
                <w:bCs/>
                <w:sz w:val="20"/>
                <w:szCs w:val="20"/>
              </w:rPr>
            </w:pPr>
            <w:r w:rsidRPr="003B2AB8">
              <w:rPr>
                <w:b/>
                <w:bCs/>
                <w:sz w:val="20"/>
                <w:szCs w:val="20"/>
              </w:rPr>
              <w:t>Total</w:t>
            </w:r>
          </w:p>
        </w:tc>
        <w:tc>
          <w:tcPr>
            <w:tcW w:w="0" w:type="auto"/>
            <w:shd w:val="clear" w:color="000000" w:fill="FFFFFF"/>
            <w:noWrap/>
            <w:vAlign w:val="center"/>
            <w:hideMark/>
          </w:tcPr>
          <w:p w14:paraId="37BC43A8" w14:textId="77777777" w:rsidR="00820C57" w:rsidRPr="003B2AB8" w:rsidRDefault="00820C57" w:rsidP="004946BF">
            <w:pPr>
              <w:jc w:val="center"/>
              <w:rPr>
                <w:b/>
                <w:bCs/>
                <w:sz w:val="20"/>
                <w:szCs w:val="20"/>
              </w:rPr>
            </w:pPr>
            <w:r w:rsidRPr="003B2AB8">
              <w:rPr>
                <w:b/>
                <w:bCs/>
                <w:sz w:val="20"/>
                <w:szCs w:val="20"/>
              </w:rPr>
              <w:t>52</w:t>
            </w:r>
          </w:p>
        </w:tc>
        <w:tc>
          <w:tcPr>
            <w:tcW w:w="0" w:type="auto"/>
            <w:shd w:val="clear" w:color="000000" w:fill="FFFFFF"/>
            <w:noWrap/>
            <w:vAlign w:val="center"/>
            <w:hideMark/>
          </w:tcPr>
          <w:p w14:paraId="4C7C497D" w14:textId="77777777" w:rsidR="00820C57" w:rsidRPr="003B2AB8" w:rsidRDefault="00820C57" w:rsidP="004946BF">
            <w:pPr>
              <w:jc w:val="center"/>
              <w:rPr>
                <w:b/>
                <w:bCs/>
                <w:sz w:val="20"/>
                <w:szCs w:val="20"/>
              </w:rPr>
            </w:pPr>
            <w:r w:rsidRPr="003B2AB8">
              <w:rPr>
                <w:b/>
                <w:bCs/>
                <w:sz w:val="20"/>
                <w:szCs w:val="20"/>
              </w:rPr>
              <w:t>52</w:t>
            </w:r>
          </w:p>
        </w:tc>
        <w:tc>
          <w:tcPr>
            <w:tcW w:w="0" w:type="auto"/>
            <w:shd w:val="clear" w:color="000000" w:fill="FFFFFF"/>
            <w:noWrap/>
            <w:vAlign w:val="center"/>
            <w:hideMark/>
          </w:tcPr>
          <w:p w14:paraId="571C28DC" w14:textId="77777777" w:rsidR="00820C57" w:rsidRPr="003B2AB8" w:rsidRDefault="00820C57" w:rsidP="004946BF">
            <w:pPr>
              <w:jc w:val="center"/>
              <w:rPr>
                <w:b/>
                <w:bCs/>
                <w:sz w:val="20"/>
                <w:szCs w:val="20"/>
              </w:rPr>
            </w:pPr>
            <w:r w:rsidRPr="003B2AB8">
              <w:rPr>
                <w:b/>
                <w:bCs/>
                <w:sz w:val="20"/>
                <w:szCs w:val="20"/>
              </w:rPr>
              <w:t>96.6%</w:t>
            </w:r>
          </w:p>
        </w:tc>
        <w:tc>
          <w:tcPr>
            <w:tcW w:w="0" w:type="auto"/>
            <w:shd w:val="clear" w:color="000000" w:fill="FFFFFF"/>
            <w:noWrap/>
            <w:vAlign w:val="center"/>
            <w:hideMark/>
          </w:tcPr>
          <w:p w14:paraId="6E5861B3" w14:textId="77777777" w:rsidR="00820C57" w:rsidRPr="003B2AB8" w:rsidRDefault="00820C57" w:rsidP="004946BF">
            <w:pPr>
              <w:jc w:val="center"/>
              <w:rPr>
                <w:b/>
                <w:bCs/>
                <w:sz w:val="20"/>
                <w:szCs w:val="20"/>
              </w:rPr>
            </w:pPr>
            <w:r w:rsidRPr="003B2AB8">
              <w:rPr>
                <w:b/>
                <w:bCs/>
                <w:sz w:val="20"/>
                <w:szCs w:val="20"/>
              </w:rPr>
              <w:t>2.4%</w:t>
            </w:r>
          </w:p>
        </w:tc>
        <w:tc>
          <w:tcPr>
            <w:tcW w:w="0" w:type="auto"/>
            <w:shd w:val="clear" w:color="000000" w:fill="FFFFFF"/>
            <w:noWrap/>
            <w:vAlign w:val="center"/>
            <w:hideMark/>
          </w:tcPr>
          <w:p w14:paraId="4FA911CD" w14:textId="77777777" w:rsidR="00820C57" w:rsidRPr="003B2AB8" w:rsidRDefault="00820C57" w:rsidP="004946BF">
            <w:pPr>
              <w:jc w:val="center"/>
              <w:rPr>
                <w:b/>
                <w:bCs/>
                <w:sz w:val="20"/>
                <w:szCs w:val="20"/>
              </w:rPr>
            </w:pPr>
            <w:r w:rsidRPr="003B2AB8">
              <w:rPr>
                <w:b/>
                <w:bCs/>
                <w:sz w:val="20"/>
                <w:szCs w:val="20"/>
              </w:rPr>
              <w:t>1.0%</w:t>
            </w:r>
          </w:p>
        </w:tc>
      </w:tr>
    </w:tbl>
    <w:p w14:paraId="015989E8" w14:textId="77777777" w:rsidR="00820C57" w:rsidRPr="003B2AB8" w:rsidRDefault="00820C57" w:rsidP="00820C57">
      <w:pPr>
        <w:rPr>
          <w:i/>
        </w:rPr>
      </w:pPr>
    </w:p>
    <w:p w14:paraId="630C3902" w14:textId="77777777" w:rsidR="00820C57" w:rsidRPr="003B2AB8" w:rsidRDefault="00820C57" w:rsidP="00DF2682">
      <w:pPr>
        <w:pStyle w:val="HLevel3"/>
        <w:rPr>
          <w:noProof w:val="0"/>
        </w:rPr>
      </w:pPr>
      <w:bookmarkStart w:id="19" w:name="_Toc446343618"/>
      <w:r w:rsidRPr="003B2AB8">
        <w:rPr>
          <w:noProof w:val="0"/>
        </w:rPr>
        <w:t>Writing</w:t>
      </w:r>
      <w:bookmarkEnd w:id="19"/>
    </w:p>
    <w:p w14:paraId="66F3F69D" w14:textId="55613660" w:rsidR="00820C57" w:rsidRPr="003B2AB8" w:rsidRDefault="00820C57" w:rsidP="00820C57">
      <w:pPr>
        <w:rPr>
          <w:szCs w:val="22"/>
        </w:rPr>
      </w:pPr>
      <w:r w:rsidRPr="003B2AB8">
        <w:t xml:space="preserve">The Texas </w:t>
      </w:r>
      <w:r w:rsidR="008318E9" w:rsidRPr="003B2AB8">
        <w:t xml:space="preserve">writing assessments </w:t>
      </w:r>
      <w:r w:rsidRPr="003B2AB8">
        <w:t xml:space="preserve">include three reporting categories: </w:t>
      </w:r>
      <w:r w:rsidR="004946BF" w:rsidRPr="003B2AB8">
        <w:t>(a</w:t>
      </w:r>
      <w:r w:rsidRPr="003B2AB8">
        <w:t xml:space="preserve">) </w:t>
      </w:r>
      <w:r w:rsidRPr="003B2AB8">
        <w:rPr>
          <w:szCs w:val="22"/>
        </w:rPr>
        <w:t>Composition</w:t>
      </w:r>
      <w:r w:rsidR="004946BF" w:rsidRPr="003B2AB8">
        <w:t>, (b</w:t>
      </w:r>
      <w:r w:rsidRPr="003B2AB8">
        <w:t xml:space="preserve">) </w:t>
      </w:r>
      <w:r w:rsidRPr="003B2AB8">
        <w:rPr>
          <w:szCs w:val="22"/>
        </w:rPr>
        <w:t>Revision, and</w:t>
      </w:r>
      <w:r w:rsidR="004946BF" w:rsidRPr="003B2AB8">
        <w:rPr>
          <w:szCs w:val="22"/>
        </w:rPr>
        <w:t xml:space="preserve"> (c</w:t>
      </w:r>
      <w:r w:rsidRPr="003B2AB8">
        <w:rPr>
          <w:szCs w:val="22"/>
        </w:rPr>
        <w:t xml:space="preserve">) Editing. </w:t>
      </w:r>
      <w:r w:rsidR="00E45D61" w:rsidRPr="003B2AB8">
        <w:rPr>
          <w:szCs w:val="22"/>
        </w:rPr>
        <w:t>Writing</w:t>
      </w:r>
      <w:r w:rsidRPr="003B2AB8">
        <w:rPr>
          <w:szCs w:val="22"/>
        </w:rPr>
        <w:t xml:space="preserve"> includes readiness and supporting standards. STAAR </w:t>
      </w:r>
      <w:r w:rsidR="008318E9" w:rsidRPr="003B2AB8">
        <w:rPr>
          <w:szCs w:val="22"/>
        </w:rPr>
        <w:t xml:space="preserve">writing </w:t>
      </w:r>
      <w:r w:rsidRPr="003B2AB8">
        <w:rPr>
          <w:szCs w:val="22"/>
        </w:rPr>
        <w:t>assessments include one composition</w:t>
      </w:r>
      <w:r w:rsidR="00AD5432" w:rsidRPr="003B2AB8">
        <w:rPr>
          <w:szCs w:val="22"/>
        </w:rPr>
        <w:t xml:space="preserve"> item</w:t>
      </w:r>
      <w:r w:rsidR="008318E9" w:rsidRPr="003B2AB8">
        <w:rPr>
          <w:szCs w:val="22"/>
        </w:rPr>
        <w:t>,</w:t>
      </w:r>
      <w:r w:rsidRPr="003B2AB8">
        <w:rPr>
          <w:szCs w:val="22"/>
        </w:rPr>
        <w:t xml:space="preserve"> and the remaining items are multiple choice.</w:t>
      </w:r>
    </w:p>
    <w:p w14:paraId="3848D820" w14:textId="77777777" w:rsidR="00C03930" w:rsidRPr="003B2AB8" w:rsidRDefault="00C03930" w:rsidP="00820C57"/>
    <w:p w14:paraId="5D981D76" w14:textId="09506888" w:rsidR="00820C57" w:rsidRPr="003B2AB8" w:rsidRDefault="00820C57" w:rsidP="00820C57">
      <w:r w:rsidRPr="003B2AB8">
        <w:t xml:space="preserve">Table 5 presents content review results for the </w:t>
      </w:r>
      <w:r w:rsidR="004946BF" w:rsidRPr="003B2AB8">
        <w:t xml:space="preserve">2016 </w:t>
      </w:r>
      <w:r w:rsidRPr="003B2AB8">
        <w:t xml:space="preserve">grade 4 </w:t>
      </w:r>
      <w:r w:rsidR="008318E9" w:rsidRPr="003B2AB8">
        <w:t xml:space="preserve">writing </w:t>
      </w:r>
      <w:r w:rsidR="004946BF" w:rsidRPr="003B2AB8">
        <w:t>STAAR</w:t>
      </w:r>
      <w:r w:rsidRPr="003B2AB8">
        <w:t xml:space="preserve"> test form. The number of items included on the test form matched the blueprint overall</w:t>
      </w:r>
      <w:r w:rsidR="00AD5432" w:rsidRPr="003B2AB8">
        <w:t>, as well as when</w:t>
      </w:r>
      <w:r w:rsidRPr="003B2AB8">
        <w:t xml:space="preserve"> disaggregated by reporting category, standard type, and item type.</w:t>
      </w:r>
    </w:p>
    <w:p w14:paraId="2FAF2FE7" w14:textId="77777777" w:rsidR="00C03930" w:rsidRPr="003B2AB8" w:rsidRDefault="00C03930" w:rsidP="00820C57"/>
    <w:p w14:paraId="6ECD8A4E" w14:textId="77777777" w:rsidR="00820C57" w:rsidRPr="003B2AB8" w:rsidRDefault="00820C57" w:rsidP="00820C57">
      <w:r w:rsidRPr="003B2AB8">
        <w:t>On average, the raters provided ratings of fully aligned to the majority of items across reporting categories. Only a small percentage of items, on average, were found to be not aligned to the intended expectation</w:t>
      </w:r>
      <w:r w:rsidR="00AD5432" w:rsidRPr="003B2AB8">
        <w:t>. T</w:t>
      </w:r>
      <w:r w:rsidRPr="003B2AB8">
        <w:t xml:space="preserve">hese were </w:t>
      </w:r>
      <w:r w:rsidR="00AD5432" w:rsidRPr="003B2AB8">
        <w:t xml:space="preserve">all </w:t>
      </w:r>
      <w:r w:rsidRPr="003B2AB8">
        <w:t xml:space="preserve">multiple choice </w:t>
      </w:r>
      <w:r w:rsidR="00AD5432" w:rsidRPr="003B2AB8">
        <w:t xml:space="preserve">items </w:t>
      </w:r>
      <w:r w:rsidRPr="003B2AB8">
        <w:t>and fell in reporting category 3 (Editing).</w:t>
      </w:r>
    </w:p>
    <w:p w14:paraId="5E3FC6EC" w14:textId="77777777" w:rsidR="00820C57" w:rsidRPr="003B2AB8" w:rsidRDefault="00820C57" w:rsidP="00820C57">
      <w:pPr>
        <w:rPr>
          <w:i/>
        </w:rPr>
      </w:pPr>
    </w:p>
    <w:p w14:paraId="4FBF3DD9" w14:textId="77777777" w:rsidR="00820C57" w:rsidRPr="003B2AB8" w:rsidRDefault="00820C57" w:rsidP="007D0070">
      <w:pPr>
        <w:pStyle w:val="HTable"/>
      </w:pPr>
      <w:bookmarkStart w:id="20" w:name="_Toc446071680"/>
      <w:r w:rsidRPr="003B2AB8">
        <w:t xml:space="preserve">Table 5. Grade 4 </w:t>
      </w:r>
      <w:r w:rsidR="00D91D57" w:rsidRPr="003B2AB8">
        <w:t>W</w:t>
      </w:r>
      <w:r w:rsidRPr="003B2AB8">
        <w:t xml:space="preserve">riting </w:t>
      </w:r>
      <w:r w:rsidR="00FD3F81" w:rsidRPr="003B2AB8">
        <w:t>C</w:t>
      </w:r>
      <w:r w:rsidRPr="003B2AB8">
        <w:t xml:space="preserve">ontent </w:t>
      </w:r>
      <w:r w:rsidR="00FD3F81" w:rsidRPr="003B2AB8">
        <w:t>A</w:t>
      </w:r>
      <w:r w:rsidRPr="003B2AB8">
        <w:t xml:space="preserve">lignment and </w:t>
      </w:r>
      <w:r w:rsidR="00FD3F81" w:rsidRPr="003B2AB8">
        <w:t>B</w:t>
      </w:r>
      <w:r w:rsidRPr="003B2AB8">
        <w:t xml:space="preserve">lueprint </w:t>
      </w:r>
      <w:r w:rsidR="00FD3F81" w:rsidRPr="003B2AB8">
        <w:t>C</w:t>
      </w:r>
      <w:r w:rsidRPr="003B2AB8">
        <w:t xml:space="preserve">onsistency </w:t>
      </w:r>
      <w:r w:rsidR="00FD3F81" w:rsidRPr="003B2AB8">
        <w:t>R</w:t>
      </w:r>
      <w:r w:rsidRPr="003B2AB8">
        <w:t>esults</w:t>
      </w:r>
      <w:bookmarkEnd w:id="20"/>
    </w:p>
    <w:tbl>
      <w:tblPr>
        <w:tblW w:w="0" w:type="auto"/>
        <w:tblInd w:w="93"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left w:w="115" w:type="dxa"/>
          <w:bottom w:w="14" w:type="dxa"/>
          <w:right w:w="115" w:type="dxa"/>
        </w:tblCellMar>
        <w:tblLook w:val="04A0" w:firstRow="1" w:lastRow="0" w:firstColumn="1" w:lastColumn="0" w:noHBand="0" w:noVBand="1"/>
      </w:tblPr>
      <w:tblGrid>
        <w:gridCol w:w="1635"/>
        <w:gridCol w:w="1260"/>
        <w:gridCol w:w="1260"/>
        <w:gridCol w:w="1890"/>
        <w:gridCol w:w="1659"/>
        <w:gridCol w:w="1793"/>
      </w:tblGrid>
      <w:tr w:rsidR="000D1397" w:rsidRPr="003B2AB8" w14:paraId="3C2E5212" w14:textId="77777777" w:rsidTr="000D1397">
        <w:tc>
          <w:tcPr>
            <w:tcW w:w="1635" w:type="dxa"/>
            <w:tcBorders>
              <w:bottom w:val="single" w:sz="8" w:space="0" w:color="D9D9D9"/>
            </w:tcBorders>
            <w:shd w:val="clear" w:color="000000" w:fill="00528B"/>
            <w:noWrap/>
            <w:vAlign w:val="bottom"/>
            <w:hideMark/>
          </w:tcPr>
          <w:p w14:paraId="76B4A02B" w14:textId="77777777" w:rsidR="00820C57" w:rsidRPr="003B2AB8" w:rsidRDefault="00820C57" w:rsidP="000D1397">
            <w:pPr>
              <w:spacing w:after="40"/>
              <w:rPr>
                <w:color w:val="FFFFFF" w:themeColor="background1"/>
                <w:sz w:val="20"/>
                <w:szCs w:val="20"/>
              </w:rPr>
            </w:pPr>
            <w:r w:rsidRPr="003B2AB8">
              <w:rPr>
                <w:color w:val="FFFFFF" w:themeColor="background1"/>
                <w:sz w:val="20"/>
                <w:szCs w:val="20"/>
              </w:rPr>
              <w:t>Category</w:t>
            </w:r>
          </w:p>
        </w:tc>
        <w:tc>
          <w:tcPr>
            <w:tcW w:w="1260" w:type="dxa"/>
            <w:tcBorders>
              <w:bottom w:val="single" w:sz="8" w:space="0" w:color="D9D9D9"/>
            </w:tcBorders>
            <w:shd w:val="clear" w:color="000000" w:fill="00528B"/>
            <w:vAlign w:val="bottom"/>
            <w:hideMark/>
          </w:tcPr>
          <w:p w14:paraId="0A7198DF" w14:textId="77777777" w:rsidR="00820C57" w:rsidRPr="003B2AB8" w:rsidRDefault="00820C57" w:rsidP="000D1397">
            <w:pPr>
              <w:spacing w:after="40"/>
              <w:jc w:val="center"/>
              <w:rPr>
                <w:color w:val="FFFFFF" w:themeColor="background1"/>
                <w:sz w:val="20"/>
                <w:szCs w:val="20"/>
              </w:rPr>
            </w:pPr>
            <w:r w:rsidRPr="003B2AB8">
              <w:rPr>
                <w:color w:val="FFFFFF" w:themeColor="background1"/>
                <w:sz w:val="20"/>
                <w:szCs w:val="20"/>
              </w:rPr>
              <w:t>Blueprint # Questions</w:t>
            </w:r>
          </w:p>
        </w:tc>
        <w:tc>
          <w:tcPr>
            <w:tcW w:w="1260" w:type="dxa"/>
            <w:tcBorders>
              <w:bottom w:val="single" w:sz="8" w:space="0" w:color="D9D9D9"/>
            </w:tcBorders>
            <w:shd w:val="clear" w:color="000000" w:fill="00528B"/>
            <w:vAlign w:val="bottom"/>
            <w:hideMark/>
          </w:tcPr>
          <w:p w14:paraId="4302513E" w14:textId="77777777" w:rsidR="00820C57" w:rsidRPr="003B2AB8" w:rsidRDefault="00820C57" w:rsidP="000D1397">
            <w:pPr>
              <w:spacing w:after="40"/>
              <w:jc w:val="center"/>
              <w:rPr>
                <w:color w:val="FFFFFF" w:themeColor="background1"/>
                <w:sz w:val="20"/>
                <w:szCs w:val="20"/>
              </w:rPr>
            </w:pPr>
            <w:r w:rsidRPr="003B2AB8">
              <w:rPr>
                <w:color w:val="FFFFFF" w:themeColor="background1"/>
                <w:sz w:val="20"/>
                <w:szCs w:val="20"/>
              </w:rPr>
              <w:t>Actual # Questions</w:t>
            </w:r>
          </w:p>
        </w:tc>
        <w:tc>
          <w:tcPr>
            <w:tcW w:w="1890" w:type="dxa"/>
            <w:tcBorders>
              <w:bottom w:val="single" w:sz="8" w:space="0" w:color="D9D9D9"/>
            </w:tcBorders>
            <w:shd w:val="clear" w:color="000000" w:fill="00528B"/>
            <w:vAlign w:val="bottom"/>
            <w:hideMark/>
          </w:tcPr>
          <w:p w14:paraId="4AF39422" w14:textId="77777777" w:rsidR="00820C57" w:rsidRPr="003B2AB8" w:rsidRDefault="00820C57" w:rsidP="000D1397">
            <w:pPr>
              <w:spacing w:after="40"/>
              <w:jc w:val="center"/>
              <w:rPr>
                <w:color w:val="FFFFFF" w:themeColor="background1"/>
                <w:sz w:val="20"/>
                <w:szCs w:val="20"/>
              </w:rPr>
            </w:pPr>
            <w:r w:rsidRPr="003B2AB8">
              <w:rPr>
                <w:color w:val="FFFFFF" w:themeColor="background1"/>
                <w:sz w:val="20"/>
                <w:szCs w:val="20"/>
              </w:rPr>
              <w:t>Average Items Fully Aligned  to Expectation</w:t>
            </w:r>
          </w:p>
        </w:tc>
        <w:tc>
          <w:tcPr>
            <w:tcW w:w="1659" w:type="dxa"/>
            <w:tcBorders>
              <w:bottom w:val="single" w:sz="8" w:space="0" w:color="D9D9D9"/>
            </w:tcBorders>
            <w:shd w:val="clear" w:color="000000" w:fill="00528B"/>
            <w:vAlign w:val="bottom"/>
            <w:hideMark/>
          </w:tcPr>
          <w:p w14:paraId="7D86C9AB" w14:textId="77777777" w:rsidR="00820C57" w:rsidRPr="003B2AB8" w:rsidRDefault="00820C57" w:rsidP="000D1397">
            <w:pPr>
              <w:spacing w:after="40"/>
              <w:jc w:val="center"/>
              <w:rPr>
                <w:color w:val="FFFFFF" w:themeColor="background1"/>
                <w:sz w:val="20"/>
                <w:szCs w:val="20"/>
              </w:rPr>
            </w:pPr>
            <w:r w:rsidRPr="003B2AB8">
              <w:rPr>
                <w:color w:val="FFFFFF" w:themeColor="background1"/>
                <w:sz w:val="20"/>
                <w:szCs w:val="20"/>
              </w:rPr>
              <w:t>Average Items Partially Aligned to Expectation</w:t>
            </w:r>
          </w:p>
        </w:tc>
        <w:tc>
          <w:tcPr>
            <w:tcW w:w="0" w:type="auto"/>
            <w:tcBorders>
              <w:bottom w:val="single" w:sz="8" w:space="0" w:color="D9D9D9"/>
            </w:tcBorders>
            <w:shd w:val="clear" w:color="000000" w:fill="00528B"/>
            <w:vAlign w:val="bottom"/>
            <w:hideMark/>
          </w:tcPr>
          <w:p w14:paraId="36F3A5D9" w14:textId="77777777" w:rsidR="00820C57" w:rsidRPr="003B2AB8" w:rsidRDefault="00820C57" w:rsidP="000D1397">
            <w:pPr>
              <w:spacing w:after="40"/>
              <w:jc w:val="center"/>
              <w:rPr>
                <w:color w:val="FFFFFF" w:themeColor="background1"/>
                <w:sz w:val="20"/>
                <w:szCs w:val="20"/>
              </w:rPr>
            </w:pPr>
            <w:r w:rsidRPr="003B2AB8">
              <w:rPr>
                <w:color w:val="FFFFFF" w:themeColor="background1"/>
                <w:sz w:val="20"/>
                <w:szCs w:val="20"/>
              </w:rPr>
              <w:t>Average Items Not Aligned  to Expectation</w:t>
            </w:r>
          </w:p>
        </w:tc>
      </w:tr>
      <w:tr w:rsidR="000D1397" w:rsidRPr="003B2AB8" w14:paraId="5D24536C" w14:textId="77777777" w:rsidTr="000D1397">
        <w:tc>
          <w:tcPr>
            <w:tcW w:w="0" w:type="auto"/>
            <w:gridSpan w:val="6"/>
            <w:shd w:val="clear" w:color="000000" w:fill="0080BA"/>
            <w:noWrap/>
            <w:vAlign w:val="center"/>
            <w:hideMark/>
          </w:tcPr>
          <w:p w14:paraId="580F4704" w14:textId="77777777" w:rsidR="00820C57" w:rsidRPr="003B2AB8" w:rsidRDefault="00820C57" w:rsidP="000D1397">
            <w:pPr>
              <w:jc w:val="center"/>
              <w:rPr>
                <w:color w:val="FFFFFF" w:themeColor="background1"/>
                <w:sz w:val="20"/>
                <w:szCs w:val="20"/>
              </w:rPr>
            </w:pPr>
            <w:r w:rsidRPr="003B2AB8">
              <w:rPr>
                <w:color w:val="FFFFFF" w:themeColor="background1"/>
                <w:sz w:val="20"/>
                <w:szCs w:val="20"/>
              </w:rPr>
              <w:t>Reporting Category</w:t>
            </w:r>
          </w:p>
        </w:tc>
      </w:tr>
      <w:tr w:rsidR="00820C57" w:rsidRPr="003B2AB8" w14:paraId="732D54C3" w14:textId="77777777" w:rsidTr="000D1397">
        <w:trPr>
          <w:trHeight w:val="285"/>
        </w:trPr>
        <w:tc>
          <w:tcPr>
            <w:tcW w:w="1635" w:type="dxa"/>
            <w:shd w:val="clear" w:color="000000" w:fill="BFBFBF"/>
            <w:vAlign w:val="center"/>
            <w:hideMark/>
          </w:tcPr>
          <w:p w14:paraId="55A13072" w14:textId="77777777" w:rsidR="00820C57" w:rsidRPr="003B2AB8" w:rsidRDefault="00820C57" w:rsidP="004946BF">
            <w:pPr>
              <w:rPr>
                <w:sz w:val="20"/>
                <w:szCs w:val="20"/>
              </w:rPr>
            </w:pPr>
            <w:r w:rsidRPr="003B2AB8">
              <w:rPr>
                <w:sz w:val="20"/>
                <w:szCs w:val="20"/>
              </w:rPr>
              <w:t>1: Composition</w:t>
            </w:r>
          </w:p>
        </w:tc>
        <w:tc>
          <w:tcPr>
            <w:tcW w:w="1260" w:type="dxa"/>
            <w:shd w:val="clear" w:color="000000" w:fill="FFFFFF"/>
            <w:noWrap/>
            <w:vAlign w:val="center"/>
            <w:hideMark/>
          </w:tcPr>
          <w:p w14:paraId="23CC79EE" w14:textId="77777777" w:rsidR="00820C57" w:rsidRPr="003B2AB8" w:rsidRDefault="00820C57" w:rsidP="004946BF">
            <w:pPr>
              <w:jc w:val="center"/>
              <w:rPr>
                <w:sz w:val="20"/>
                <w:szCs w:val="20"/>
              </w:rPr>
            </w:pPr>
            <w:r w:rsidRPr="003B2AB8">
              <w:rPr>
                <w:sz w:val="20"/>
                <w:szCs w:val="20"/>
              </w:rPr>
              <w:t>1</w:t>
            </w:r>
          </w:p>
        </w:tc>
        <w:tc>
          <w:tcPr>
            <w:tcW w:w="1260" w:type="dxa"/>
            <w:shd w:val="clear" w:color="000000" w:fill="FFFFFF"/>
            <w:noWrap/>
            <w:vAlign w:val="center"/>
            <w:hideMark/>
          </w:tcPr>
          <w:p w14:paraId="766E643E" w14:textId="77777777" w:rsidR="00820C57" w:rsidRPr="003B2AB8" w:rsidRDefault="00820C57" w:rsidP="004946BF">
            <w:pPr>
              <w:jc w:val="center"/>
              <w:rPr>
                <w:sz w:val="20"/>
                <w:szCs w:val="20"/>
              </w:rPr>
            </w:pPr>
            <w:r w:rsidRPr="003B2AB8">
              <w:rPr>
                <w:sz w:val="20"/>
                <w:szCs w:val="20"/>
              </w:rPr>
              <w:t>1</w:t>
            </w:r>
          </w:p>
        </w:tc>
        <w:tc>
          <w:tcPr>
            <w:tcW w:w="1890" w:type="dxa"/>
            <w:shd w:val="clear" w:color="000000" w:fill="FFFFFF"/>
            <w:noWrap/>
            <w:vAlign w:val="center"/>
            <w:hideMark/>
          </w:tcPr>
          <w:p w14:paraId="040894FD" w14:textId="77777777" w:rsidR="00820C57" w:rsidRPr="003B2AB8" w:rsidRDefault="00820C57" w:rsidP="004946BF">
            <w:pPr>
              <w:jc w:val="center"/>
              <w:rPr>
                <w:sz w:val="20"/>
                <w:szCs w:val="20"/>
              </w:rPr>
            </w:pPr>
            <w:r w:rsidRPr="003B2AB8">
              <w:rPr>
                <w:sz w:val="20"/>
                <w:szCs w:val="20"/>
              </w:rPr>
              <w:t>75.0%</w:t>
            </w:r>
          </w:p>
        </w:tc>
        <w:tc>
          <w:tcPr>
            <w:tcW w:w="1659" w:type="dxa"/>
            <w:shd w:val="clear" w:color="000000" w:fill="FFFFFF"/>
            <w:noWrap/>
            <w:vAlign w:val="center"/>
            <w:hideMark/>
          </w:tcPr>
          <w:p w14:paraId="58486821" w14:textId="77777777" w:rsidR="00820C57" w:rsidRPr="003B2AB8" w:rsidRDefault="00820C57" w:rsidP="004946BF">
            <w:pPr>
              <w:jc w:val="center"/>
              <w:rPr>
                <w:sz w:val="20"/>
                <w:szCs w:val="20"/>
              </w:rPr>
            </w:pPr>
            <w:r w:rsidRPr="003B2AB8">
              <w:rPr>
                <w:sz w:val="20"/>
                <w:szCs w:val="20"/>
              </w:rPr>
              <w:t>25.0%</w:t>
            </w:r>
          </w:p>
        </w:tc>
        <w:tc>
          <w:tcPr>
            <w:tcW w:w="0" w:type="auto"/>
            <w:shd w:val="clear" w:color="000000" w:fill="FFFFFF"/>
            <w:noWrap/>
            <w:vAlign w:val="center"/>
            <w:hideMark/>
          </w:tcPr>
          <w:p w14:paraId="6CCF98FF" w14:textId="77777777" w:rsidR="00820C57" w:rsidRPr="003B2AB8" w:rsidRDefault="00820C57" w:rsidP="004946BF">
            <w:pPr>
              <w:jc w:val="center"/>
              <w:rPr>
                <w:sz w:val="20"/>
                <w:szCs w:val="20"/>
              </w:rPr>
            </w:pPr>
            <w:r w:rsidRPr="003B2AB8">
              <w:rPr>
                <w:sz w:val="20"/>
                <w:szCs w:val="20"/>
              </w:rPr>
              <w:t>0.0%</w:t>
            </w:r>
          </w:p>
        </w:tc>
      </w:tr>
      <w:tr w:rsidR="00820C57" w:rsidRPr="003B2AB8" w14:paraId="54D0F9C1" w14:textId="77777777" w:rsidTr="000D1397">
        <w:trPr>
          <w:trHeight w:val="285"/>
        </w:trPr>
        <w:tc>
          <w:tcPr>
            <w:tcW w:w="1635" w:type="dxa"/>
            <w:shd w:val="clear" w:color="000000" w:fill="BFBFBF"/>
            <w:vAlign w:val="center"/>
            <w:hideMark/>
          </w:tcPr>
          <w:p w14:paraId="2D19ACDC" w14:textId="77777777" w:rsidR="00820C57" w:rsidRPr="003B2AB8" w:rsidRDefault="00820C57" w:rsidP="004946BF">
            <w:pPr>
              <w:rPr>
                <w:sz w:val="20"/>
                <w:szCs w:val="20"/>
              </w:rPr>
            </w:pPr>
            <w:r w:rsidRPr="003B2AB8">
              <w:rPr>
                <w:sz w:val="20"/>
                <w:szCs w:val="20"/>
              </w:rPr>
              <w:t>2: Revision</w:t>
            </w:r>
          </w:p>
        </w:tc>
        <w:tc>
          <w:tcPr>
            <w:tcW w:w="1260" w:type="dxa"/>
            <w:shd w:val="clear" w:color="000000" w:fill="FFFFFF"/>
            <w:noWrap/>
            <w:vAlign w:val="center"/>
            <w:hideMark/>
          </w:tcPr>
          <w:p w14:paraId="4D093CAD" w14:textId="77777777" w:rsidR="00820C57" w:rsidRPr="003B2AB8" w:rsidRDefault="00820C57" w:rsidP="004946BF">
            <w:pPr>
              <w:jc w:val="center"/>
              <w:rPr>
                <w:sz w:val="20"/>
                <w:szCs w:val="20"/>
              </w:rPr>
            </w:pPr>
            <w:r w:rsidRPr="003B2AB8">
              <w:rPr>
                <w:sz w:val="20"/>
                <w:szCs w:val="20"/>
              </w:rPr>
              <w:t>6</w:t>
            </w:r>
          </w:p>
        </w:tc>
        <w:tc>
          <w:tcPr>
            <w:tcW w:w="1260" w:type="dxa"/>
            <w:shd w:val="clear" w:color="000000" w:fill="FFFFFF"/>
            <w:noWrap/>
            <w:vAlign w:val="center"/>
            <w:hideMark/>
          </w:tcPr>
          <w:p w14:paraId="7669A0FF" w14:textId="77777777" w:rsidR="00820C57" w:rsidRPr="003B2AB8" w:rsidRDefault="00820C57" w:rsidP="004946BF">
            <w:pPr>
              <w:jc w:val="center"/>
              <w:rPr>
                <w:sz w:val="20"/>
                <w:szCs w:val="20"/>
              </w:rPr>
            </w:pPr>
            <w:r w:rsidRPr="003B2AB8">
              <w:rPr>
                <w:sz w:val="20"/>
                <w:szCs w:val="20"/>
              </w:rPr>
              <w:t>6</w:t>
            </w:r>
          </w:p>
        </w:tc>
        <w:tc>
          <w:tcPr>
            <w:tcW w:w="1890" w:type="dxa"/>
            <w:shd w:val="clear" w:color="000000" w:fill="FFFFFF"/>
            <w:noWrap/>
            <w:vAlign w:val="center"/>
            <w:hideMark/>
          </w:tcPr>
          <w:p w14:paraId="4D5242E8" w14:textId="77777777" w:rsidR="00820C57" w:rsidRPr="003B2AB8" w:rsidRDefault="00820C57" w:rsidP="004946BF">
            <w:pPr>
              <w:jc w:val="center"/>
              <w:rPr>
                <w:sz w:val="20"/>
                <w:szCs w:val="20"/>
              </w:rPr>
            </w:pPr>
            <w:r w:rsidRPr="003B2AB8">
              <w:rPr>
                <w:sz w:val="20"/>
                <w:szCs w:val="20"/>
              </w:rPr>
              <w:t>100.0%</w:t>
            </w:r>
          </w:p>
        </w:tc>
        <w:tc>
          <w:tcPr>
            <w:tcW w:w="1659" w:type="dxa"/>
            <w:shd w:val="clear" w:color="000000" w:fill="FFFFFF"/>
            <w:noWrap/>
            <w:vAlign w:val="center"/>
            <w:hideMark/>
          </w:tcPr>
          <w:p w14:paraId="67DDAA40" w14:textId="77777777" w:rsidR="00820C57" w:rsidRPr="003B2AB8" w:rsidRDefault="00820C57" w:rsidP="004946BF">
            <w:pPr>
              <w:jc w:val="center"/>
              <w:rPr>
                <w:sz w:val="20"/>
                <w:szCs w:val="20"/>
              </w:rPr>
            </w:pPr>
            <w:r w:rsidRPr="003B2AB8">
              <w:rPr>
                <w:sz w:val="20"/>
                <w:szCs w:val="20"/>
              </w:rPr>
              <w:t>0.0%</w:t>
            </w:r>
          </w:p>
        </w:tc>
        <w:tc>
          <w:tcPr>
            <w:tcW w:w="0" w:type="auto"/>
            <w:shd w:val="clear" w:color="000000" w:fill="FFFFFF"/>
            <w:noWrap/>
            <w:vAlign w:val="center"/>
            <w:hideMark/>
          </w:tcPr>
          <w:p w14:paraId="3DD94FA3" w14:textId="77777777" w:rsidR="00820C57" w:rsidRPr="003B2AB8" w:rsidRDefault="00820C57" w:rsidP="004946BF">
            <w:pPr>
              <w:jc w:val="center"/>
              <w:rPr>
                <w:sz w:val="20"/>
                <w:szCs w:val="20"/>
              </w:rPr>
            </w:pPr>
            <w:r w:rsidRPr="003B2AB8">
              <w:rPr>
                <w:sz w:val="20"/>
                <w:szCs w:val="20"/>
              </w:rPr>
              <w:t>0.0%</w:t>
            </w:r>
          </w:p>
        </w:tc>
      </w:tr>
      <w:tr w:rsidR="00820C57" w:rsidRPr="003B2AB8" w14:paraId="6BA40619" w14:textId="77777777" w:rsidTr="000D1397">
        <w:trPr>
          <w:trHeight w:val="285"/>
        </w:trPr>
        <w:tc>
          <w:tcPr>
            <w:tcW w:w="1635" w:type="dxa"/>
            <w:tcBorders>
              <w:bottom w:val="single" w:sz="8" w:space="0" w:color="D9D9D9"/>
            </w:tcBorders>
            <w:shd w:val="clear" w:color="000000" w:fill="BFBFBF"/>
            <w:vAlign w:val="center"/>
            <w:hideMark/>
          </w:tcPr>
          <w:p w14:paraId="700A3D46" w14:textId="77777777" w:rsidR="00820C57" w:rsidRPr="003B2AB8" w:rsidRDefault="00820C57" w:rsidP="004946BF">
            <w:pPr>
              <w:rPr>
                <w:sz w:val="20"/>
                <w:szCs w:val="20"/>
              </w:rPr>
            </w:pPr>
            <w:r w:rsidRPr="003B2AB8">
              <w:rPr>
                <w:sz w:val="20"/>
                <w:szCs w:val="20"/>
              </w:rPr>
              <w:t>3: Editing</w:t>
            </w:r>
          </w:p>
        </w:tc>
        <w:tc>
          <w:tcPr>
            <w:tcW w:w="1260" w:type="dxa"/>
            <w:tcBorders>
              <w:bottom w:val="single" w:sz="8" w:space="0" w:color="D9D9D9"/>
            </w:tcBorders>
            <w:shd w:val="clear" w:color="000000" w:fill="FFFFFF"/>
            <w:noWrap/>
            <w:vAlign w:val="center"/>
            <w:hideMark/>
          </w:tcPr>
          <w:p w14:paraId="53DD904D" w14:textId="77777777" w:rsidR="00820C57" w:rsidRPr="003B2AB8" w:rsidRDefault="00820C57" w:rsidP="004946BF">
            <w:pPr>
              <w:jc w:val="center"/>
              <w:rPr>
                <w:sz w:val="20"/>
                <w:szCs w:val="20"/>
              </w:rPr>
            </w:pPr>
            <w:r w:rsidRPr="003B2AB8">
              <w:rPr>
                <w:sz w:val="20"/>
                <w:szCs w:val="20"/>
              </w:rPr>
              <w:t>12</w:t>
            </w:r>
          </w:p>
        </w:tc>
        <w:tc>
          <w:tcPr>
            <w:tcW w:w="1260" w:type="dxa"/>
            <w:tcBorders>
              <w:bottom w:val="single" w:sz="8" w:space="0" w:color="D9D9D9"/>
            </w:tcBorders>
            <w:shd w:val="clear" w:color="000000" w:fill="FFFFFF"/>
            <w:noWrap/>
            <w:vAlign w:val="center"/>
            <w:hideMark/>
          </w:tcPr>
          <w:p w14:paraId="75F5CD22" w14:textId="77777777" w:rsidR="00820C57" w:rsidRPr="003B2AB8" w:rsidRDefault="00820C57" w:rsidP="004946BF">
            <w:pPr>
              <w:jc w:val="center"/>
              <w:rPr>
                <w:sz w:val="20"/>
                <w:szCs w:val="20"/>
              </w:rPr>
            </w:pPr>
            <w:r w:rsidRPr="003B2AB8">
              <w:rPr>
                <w:sz w:val="20"/>
                <w:szCs w:val="20"/>
              </w:rPr>
              <w:t>12</w:t>
            </w:r>
          </w:p>
        </w:tc>
        <w:tc>
          <w:tcPr>
            <w:tcW w:w="1890" w:type="dxa"/>
            <w:tcBorders>
              <w:bottom w:val="single" w:sz="8" w:space="0" w:color="D9D9D9"/>
            </w:tcBorders>
            <w:shd w:val="clear" w:color="000000" w:fill="FFFFFF"/>
            <w:noWrap/>
            <w:vAlign w:val="center"/>
            <w:hideMark/>
          </w:tcPr>
          <w:p w14:paraId="71CB9885" w14:textId="77777777" w:rsidR="00820C57" w:rsidRPr="003B2AB8" w:rsidRDefault="00820C57" w:rsidP="004946BF">
            <w:pPr>
              <w:jc w:val="center"/>
              <w:rPr>
                <w:sz w:val="20"/>
                <w:szCs w:val="20"/>
              </w:rPr>
            </w:pPr>
            <w:r w:rsidRPr="003B2AB8">
              <w:rPr>
                <w:sz w:val="20"/>
                <w:szCs w:val="20"/>
              </w:rPr>
              <w:t>91.7%</w:t>
            </w:r>
          </w:p>
        </w:tc>
        <w:tc>
          <w:tcPr>
            <w:tcW w:w="1659" w:type="dxa"/>
            <w:tcBorders>
              <w:bottom w:val="single" w:sz="8" w:space="0" w:color="D9D9D9"/>
            </w:tcBorders>
            <w:shd w:val="clear" w:color="000000" w:fill="FFFFFF"/>
            <w:noWrap/>
            <w:vAlign w:val="center"/>
            <w:hideMark/>
          </w:tcPr>
          <w:p w14:paraId="2AA71A3B" w14:textId="77777777" w:rsidR="00820C57" w:rsidRPr="003B2AB8" w:rsidRDefault="00820C57" w:rsidP="004946BF">
            <w:pPr>
              <w:jc w:val="center"/>
              <w:rPr>
                <w:sz w:val="20"/>
                <w:szCs w:val="20"/>
              </w:rPr>
            </w:pPr>
            <w:r w:rsidRPr="003B2AB8">
              <w:rPr>
                <w:sz w:val="20"/>
                <w:szCs w:val="20"/>
              </w:rPr>
              <w:t>6.3%</w:t>
            </w:r>
          </w:p>
        </w:tc>
        <w:tc>
          <w:tcPr>
            <w:tcW w:w="0" w:type="auto"/>
            <w:tcBorders>
              <w:bottom w:val="single" w:sz="8" w:space="0" w:color="D9D9D9"/>
            </w:tcBorders>
            <w:shd w:val="clear" w:color="000000" w:fill="FFFFFF"/>
            <w:noWrap/>
            <w:vAlign w:val="center"/>
            <w:hideMark/>
          </w:tcPr>
          <w:p w14:paraId="67A62345" w14:textId="77777777" w:rsidR="00820C57" w:rsidRPr="003B2AB8" w:rsidRDefault="00820C57" w:rsidP="004946BF">
            <w:pPr>
              <w:jc w:val="center"/>
              <w:rPr>
                <w:sz w:val="20"/>
                <w:szCs w:val="20"/>
              </w:rPr>
            </w:pPr>
            <w:r w:rsidRPr="003B2AB8">
              <w:rPr>
                <w:sz w:val="20"/>
                <w:szCs w:val="20"/>
              </w:rPr>
              <w:t>2.1%</w:t>
            </w:r>
          </w:p>
        </w:tc>
      </w:tr>
      <w:tr w:rsidR="000D1397" w:rsidRPr="003B2AB8" w14:paraId="02AC9C0C" w14:textId="77777777" w:rsidTr="000D1397">
        <w:tc>
          <w:tcPr>
            <w:tcW w:w="0" w:type="auto"/>
            <w:gridSpan w:val="6"/>
            <w:shd w:val="clear" w:color="000000" w:fill="0080BA"/>
            <w:vAlign w:val="center"/>
            <w:hideMark/>
          </w:tcPr>
          <w:p w14:paraId="0E8AECD7" w14:textId="77777777" w:rsidR="00820C57" w:rsidRPr="003B2AB8" w:rsidRDefault="00820C57" w:rsidP="000D1397">
            <w:pPr>
              <w:jc w:val="center"/>
              <w:rPr>
                <w:color w:val="FFFFFF" w:themeColor="background1"/>
                <w:sz w:val="20"/>
                <w:szCs w:val="20"/>
              </w:rPr>
            </w:pPr>
            <w:r w:rsidRPr="003B2AB8">
              <w:rPr>
                <w:color w:val="FFFFFF" w:themeColor="background1"/>
                <w:sz w:val="20"/>
                <w:szCs w:val="20"/>
              </w:rPr>
              <w:t>Standard Type</w:t>
            </w:r>
          </w:p>
        </w:tc>
      </w:tr>
      <w:tr w:rsidR="00820C57" w:rsidRPr="003B2AB8" w14:paraId="0B363B31" w14:textId="77777777" w:rsidTr="000D1397">
        <w:trPr>
          <w:trHeight w:val="300"/>
        </w:trPr>
        <w:tc>
          <w:tcPr>
            <w:tcW w:w="1635" w:type="dxa"/>
            <w:shd w:val="clear" w:color="000000" w:fill="BFBFBF"/>
            <w:vAlign w:val="center"/>
            <w:hideMark/>
          </w:tcPr>
          <w:p w14:paraId="32EB24B8" w14:textId="77777777" w:rsidR="00820C57" w:rsidRPr="003B2AB8" w:rsidRDefault="00820C57" w:rsidP="004946BF">
            <w:pPr>
              <w:rPr>
                <w:sz w:val="20"/>
                <w:szCs w:val="20"/>
              </w:rPr>
            </w:pPr>
            <w:r w:rsidRPr="003B2AB8">
              <w:rPr>
                <w:sz w:val="20"/>
                <w:szCs w:val="20"/>
              </w:rPr>
              <w:t>Readiness Standards</w:t>
            </w:r>
          </w:p>
        </w:tc>
        <w:tc>
          <w:tcPr>
            <w:tcW w:w="1260" w:type="dxa"/>
            <w:shd w:val="clear" w:color="000000" w:fill="FFFFFF"/>
            <w:noWrap/>
            <w:vAlign w:val="center"/>
            <w:hideMark/>
          </w:tcPr>
          <w:p w14:paraId="01EC6EB5" w14:textId="77777777" w:rsidR="00820C57" w:rsidRPr="003B2AB8" w:rsidRDefault="00820C57" w:rsidP="004946BF">
            <w:pPr>
              <w:jc w:val="center"/>
              <w:rPr>
                <w:sz w:val="20"/>
                <w:szCs w:val="20"/>
              </w:rPr>
            </w:pPr>
            <w:r w:rsidRPr="003B2AB8">
              <w:rPr>
                <w:sz w:val="20"/>
                <w:szCs w:val="20"/>
              </w:rPr>
              <w:t>11-13</w:t>
            </w:r>
          </w:p>
        </w:tc>
        <w:tc>
          <w:tcPr>
            <w:tcW w:w="1260" w:type="dxa"/>
            <w:shd w:val="clear" w:color="000000" w:fill="FFFFFF"/>
            <w:noWrap/>
            <w:vAlign w:val="center"/>
            <w:hideMark/>
          </w:tcPr>
          <w:p w14:paraId="665FC149" w14:textId="77777777" w:rsidR="00820C57" w:rsidRPr="003B2AB8" w:rsidRDefault="00820C57" w:rsidP="004946BF">
            <w:pPr>
              <w:jc w:val="center"/>
              <w:rPr>
                <w:bCs/>
                <w:sz w:val="20"/>
                <w:szCs w:val="20"/>
              </w:rPr>
            </w:pPr>
            <w:r w:rsidRPr="003B2AB8">
              <w:rPr>
                <w:bCs/>
                <w:sz w:val="20"/>
                <w:szCs w:val="20"/>
              </w:rPr>
              <w:t>14</w:t>
            </w:r>
          </w:p>
        </w:tc>
        <w:tc>
          <w:tcPr>
            <w:tcW w:w="1890" w:type="dxa"/>
            <w:shd w:val="clear" w:color="000000" w:fill="FFFFFF"/>
            <w:noWrap/>
            <w:vAlign w:val="center"/>
            <w:hideMark/>
          </w:tcPr>
          <w:p w14:paraId="0286FBD2" w14:textId="77777777" w:rsidR="00820C57" w:rsidRPr="003B2AB8" w:rsidRDefault="00820C57" w:rsidP="004946BF">
            <w:pPr>
              <w:jc w:val="center"/>
              <w:rPr>
                <w:sz w:val="20"/>
                <w:szCs w:val="20"/>
              </w:rPr>
            </w:pPr>
            <w:r w:rsidRPr="003B2AB8">
              <w:rPr>
                <w:sz w:val="20"/>
                <w:szCs w:val="20"/>
              </w:rPr>
              <w:t>94.6%</w:t>
            </w:r>
          </w:p>
        </w:tc>
        <w:tc>
          <w:tcPr>
            <w:tcW w:w="1659" w:type="dxa"/>
            <w:shd w:val="clear" w:color="000000" w:fill="FFFFFF"/>
            <w:noWrap/>
            <w:vAlign w:val="center"/>
            <w:hideMark/>
          </w:tcPr>
          <w:p w14:paraId="0F7759CB" w14:textId="77777777" w:rsidR="00820C57" w:rsidRPr="003B2AB8" w:rsidRDefault="00820C57" w:rsidP="004946BF">
            <w:pPr>
              <w:jc w:val="center"/>
              <w:rPr>
                <w:sz w:val="20"/>
                <w:szCs w:val="20"/>
              </w:rPr>
            </w:pPr>
            <w:r w:rsidRPr="003B2AB8">
              <w:rPr>
                <w:sz w:val="20"/>
                <w:szCs w:val="20"/>
              </w:rPr>
              <w:t>5.4%</w:t>
            </w:r>
          </w:p>
        </w:tc>
        <w:tc>
          <w:tcPr>
            <w:tcW w:w="0" w:type="auto"/>
            <w:shd w:val="clear" w:color="000000" w:fill="FFFFFF"/>
            <w:noWrap/>
            <w:vAlign w:val="center"/>
            <w:hideMark/>
          </w:tcPr>
          <w:p w14:paraId="70BC848E" w14:textId="77777777" w:rsidR="00820C57" w:rsidRPr="003B2AB8" w:rsidRDefault="00820C57" w:rsidP="004946BF">
            <w:pPr>
              <w:jc w:val="center"/>
              <w:rPr>
                <w:sz w:val="20"/>
                <w:szCs w:val="20"/>
              </w:rPr>
            </w:pPr>
            <w:r w:rsidRPr="003B2AB8">
              <w:rPr>
                <w:sz w:val="20"/>
                <w:szCs w:val="20"/>
              </w:rPr>
              <w:t>0.0%</w:t>
            </w:r>
          </w:p>
        </w:tc>
      </w:tr>
      <w:tr w:rsidR="00820C57" w:rsidRPr="003B2AB8" w14:paraId="6595AAEA" w14:textId="77777777" w:rsidTr="000D1397">
        <w:trPr>
          <w:trHeight w:val="300"/>
        </w:trPr>
        <w:tc>
          <w:tcPr>
            <w:tcW w:w="1635" w:type="dxa"/>
            <w:tcBorders>
              <w:bottom w:val="single" w:sz="8" w:space="0" w:color="D9D9D9"/>
            </w:tcBorders>
            <w:shd w:val="clear" w:color="000000" w:fill="BFBFBF"/>
            <w:vAlign w:val="center"/>
            <w:hideMark/>
          </w:tcPr>
          <w:p w14:paraId="3A89872A" w14:textId="77777777" w:rsidR="00820C57" w:rsidRPr="003B2AB8" w:rsidRDefault="00820C57" w:rsidP="004946BF">
            <w:pPr>
              <w:rPr>
                <w:sz w:val="20"/>
                <w:szCs w:val="20"/>
              </w:rPr>
            </w:pPr>
            <w:r w:rsidRPr="003B2AB8">
              <w:rPr>
                <w:sz w:val="20"/>
                <w:szCs w:val="20"/>
              </w:rPr>
              <w:t>Supporting Standards</w:t>
            </w:r>
          </w:p>
        </w:tc>
        <w:tc>
          <w:tcPr>
            <w:tcW w:w="1260" w:type="dxa"/>
            <w:tcBorders>
              <w:bottom w:val="single" w:sz="8" w:space="0" w:color="D9D9D9"/>
            </w:tcBorders>
            <w:shd w:val="clear" w:color="000000" w:fill="FFFFFF"/>
            <w:noWrap/>
            <w:vAlign w:val="center"/>
            <w:hideMark/>
          </w:tcPr>
          <w:p w14:paraId="49133138" w14:textId="77777777" w:rsidR="00820C57" w:rsidRPr="003B2AB8" w:rsidRDefault="00820C57" w:rsidP="004946BF">
            <w:pPr>
              <w:jc w:val="center"/>
              <w:rPr>
                <w:sz w:val="20"/>
                <w:szCs w:val="20"/>
              </w:rPr>
            </w:pPr>
            <w:r w:rsidRPr="003B2AB8">
              <w:rPr>
                <w:sz w:val="20"/>
                <w:szCs w:val="20"/>
              </w:rPr>
              <w:t>5-7</w:t>
            </w:r>
          </w:p>
        </w:tc>
        <w:tc>
          <w:tcPr>
            <w:tcW w:w="1260" w:type="dxa"/>
            <w:tcBorders>
              <w:bottom w:val="single" w:sz="8" w:space="0" w:color="D9D9D9"/>
            </w:tcBorders>
            <w:shd w:val="clear" w:color="000000" w:fill="FFFFFF"/>
            <w:noWrap/>
            <w:vAlign w:val="center"/>
            <w:hideMark/>
          </w:tcPr>
          <w:p w14:paraId="00541ED1" w14:textId="77777777" w:rsidR="00820C57" w:rsidRPr="003B2AB8" w:rsidRDefault="00820C57" w:rsidP="004946BF">
            <w:pPr>
              <w:jc w:val="center"/>
              <w:rPr>
                <w:bCs/>
                <w:sz w:val="20"/>
                <w:szCs w:val="20"/>
              </w:rPr>
            </w:pPr>
            <w:r w:rsidRPr="003B2AB8">
              <w:rPr>
                <w:bCs/>
                <w:sz w:val="20"/>
                <w:szCs w:val="20"/>
              </w:rPr>
              <w:t>5</w:t>
            </w:r>
          </w:p>
        </w:tc>
        <w:tc>
          <w:tcPr>
            <w:tcW w:w="1890" w:type="dxa"/>
            <w:tcBorders>
              <w:bottom w:val="single" w:sz="8" w:space="0" w:color="D9D9D9"/>
            </w:tcBorders>
            <w:shd w:val="clear" w:color="000000" w:fill="FFFFFF"/>
            <w:noWrap/>
            <w:vAlign w:val="center"/>
            <w:hideMark/>
          </w:tcPr>
          <w:p w14:paraId="362EF9DD" w14:textId="77777777" w:rsidR="00820C57" w:rsidRPr="003B2AB8" w:rsidRDefault="00820C57" w:rsidP="004946BF">
            <w:pPr>
              <w:jc w:val="center"/>
              <w:rPr>
                <w:sz w:val="20"/>
                <w:szCs w:val="20"/>
              </w:rPr>
            </w:pPr>
            <w:r w:rsidRPr="003B2AB8">
              <w:rPr>
                <w:sz w:val="20"/>
                <w:szCs w:val="20"/>
              </w:rPr>
              <w:t>90.0%</w:t>
            </w:r>
          </w:p>
        </w:tc>
        <w:tc>
          <w:tcPr>
            <w:tcW w:w="1659" w:type="dxa"/>
            <w:tcBorders>
              <w:bottom w:val="single" w:sz="8" w:space="0" w:color="D9D9D9"/>
            </w:tcBorders>
            <w:shd w:val="clear" w:color="000000" w:fill="FFFFFF"/>
            <w:noWrap/>
            <w:vAlign w:val="center"/>
            <w:hideMark/>
          </w:tcPr>
          <w:p w14:paraId="43346722" w14:textId="77777777" w:rsidR="00820C57" w:rsidRPr="003B2AB8" w:rsidRDefault="00820C57" w:rsidP="004946BF">
            <w:pPr>
              <w:jc w:val="center"/>
              <w:rPr>
                <w:sz w:val="20"/>
                <w:szCs w:val="20"/>
              </w:rPr>
            </w:pPr>
            <w:r w:rsidRPr="003B2AB8">
              <w:rPr>
                <w:sz w:val="20"/>
                <w:szCs w:val="20"/>
              </w:rPr>
              <w:t>5.0%</w:t>
            </w:r>
          </w:p>
        </w:tc>
        <w:tc>
          <w:tcPr>
            <w:tcW w:w="0" w:type="auto"/>
            <w:tcBorders>
              <w:bottom w:val="single" w:sz="8" w:space="0" w:color="D9D9D9"/>
            </w:tcBorders>
            <w:shd w:val="clear" w:color="000000" w:fill="FFFFFF"/>
            <w:noWrap/>
            <w:vAlign w:val="center"/>
            <w:hideMark/>
          </w:tcPr>
          <w:p w14:paraId="4C654F07" w14:textId="77777777" w:rsidR="00820C57" w:rsidRPr="003B2AB8" w:rsidRDefault="00820C57" w:rsidP="004946BF">
            <w:pPr>
              <w:jc w:val="center"/>
              <w:rPr>
                <w:sz w:val="20"/>
                <w:szCs w:val="20"/>
              </w:rPr>
            </w:pPr>
            <w:r w:rsidRPr="003B2AB8">
              <w:rPr>
                <w:sz w:val="20"/>
                <w:szCs w:val="20"/>
              </w:rPr>
              <w:t>5.0%</w:t>
            </w:r>
          </w:p>
        </w:tc>
      </w:tr>
      <w:tr w:rsidR="000D1397" w:rsidRPr="003B2AB8" w14:paraId="31021F3C" w14:textId="77777777" w:rsidTr="000D1397">
        <w:tc>
          <w:tcPr>
            <w:tcW w:w="0" w:type="auto"/>
            <w:gridSpan w:val="6"/>
            <w:shd w:val="clear" w:color="000000" w:fill="0080BA"/>
            <w:vAlign w:val="center"/>
            <w:hideMark/>
          </w:tcPr>
          <w:p w14:paraId="39CAB803" w14:textId="77777777" w:rsidR="00820C57" w:rsidRPr="003B2AB8" w:rsidRDefault="00820C57" w:rsidP="000D1397">
            <w:pPr>
              <w:jc w:val="center"/>
              <w:rPr>
                <w:color w:val="FFFFFF" w:themeColor="background1"/>
                <w:sz w:val="20"/>
                <w:szCs w:val="20"/>
              </w:rPr>
            </w:pPr>
            <w:r w:rsidRPr="003B2AB8">
              <w:rPr>
                <w:color w:val="FFFFFF" w:themeColor="background1"/>
                <w:sz w:val="20"/>
                <w:szCs w:val="20"/>
              </w:rPr>
              <w:t>Item Type</w:t>
            </w:r>
          </w:p>
        </w:tc>
      </w:tr>
      <w:tr w:rsidR="00820C57" w:rsidRPr="003B2AB8" w14:paraId="54E11084" w14:textId="77777777" w:rsidTr="000D1397">
        <w:trPr>
          <w:trHeight w:val="285"/>
        </w:trPr>
        <w:tc>
          <w:tcPr>
            <w:tcW w:w="1635" w:type="dxa"/>
            <w:shd w:val="clear" w:color="000000" w:fill="BFBFBF"/>
            <w:vAlign w:val="center"/>
            <w:hideMark/>
          </w:tcPr>
          <w:p w14:paraId="397519F6" w14:textId="77777777" w:rsidR="00820C57" w:rsidRPr="003B2AB8" w:rsidRDefault="00820C57" w:rsidP="004946BF">
            <w:pPr>
              <w:rPr>
                <w:sz w:val="20"/>
                <w:szCs w:val="20"/>
              </w:rPr>
            </w:pPr>
            <w:r w:rsidRPr="003B2AB8">
              <w:rPr>
                <w:sz w:val="20"/>
                <w:szCs w:val="20"/>
              </w:rPr>
              <w:t>Multiple Choice</w:t>
            </w:r>
          </w:p>
        </w:tc>
        <w:tc>
          <w:tcPr>
            <w:tcW w:w="1260" w:type="dxa"/>
            <w:shd w:val="clear" w:color="000000" w:fill="FFFFFF"/>
            <w:noWrap/>
            <w:vAlign w:val="center"/>
            <w:hideMark/>
          </w:tcPr>
          <w:p w14:paraId="5C71D20D" w14:textId="77777777" w:rsidR="00820C57" w:rsidRPr="003B2AB8" w:rsidRDefault="00820C57" w:rsidP="004946BF">
            <w:pPr>
              <w:jc w:val="center"/>
              <w:rPr>
                <w:sz w:val="20"/>
                <w:szCs w:val="20"/>
              </w:rPr>
            </w:pPr>
            <w:r w:rsidRPr="003B2AB8">
              <w:rPr>
                <w:sz w:val="20"/>
                <w:szCs w:val="20"/>
              </w:rPr>
              <w:t>18</w:t>
            </w:r>
          </w:p>
        </w:tc>
        <w:tc>
          <w:tcPr>
            <w:tcW w:w="1260" w:type="dxa"/>
            <w:shd w:val="clear" w:color="000000" w:fill="FFFFFF"/>
            <w:noWrap/>
            <w:vAlign w:val="center"/>
            <w:hideMark/>
          </w:tcPr>
          <w:p w14:paraId="159414D7" w14:textId="77777777" w:rsidR="00820C57" w:rsidRPr="003B2AB8" w:rsidRDefault="00820C57" w:rsidP="004946BF">
            <w:pPr>
              <w:jc w:val="center"/>
              <w:rPr>
                <w:sz w:val="20"/>
                <w:szCs w:val="20"/>
              </w:rPr>
            </w:pPr>
            <w:r w:rsidRPr="003B2AB8">
              <w:rPr>
                <w:sz w:val="20"/>
                <w:szCs w:val="20"/>
              </w:rPr>
              <w:t>18</w:t>
            </w:r>
          </w:p>
        </w:tc>
        <w:tc>
          <w:tcPr>
            <w:tcW w:w="1890" w:type="dxa"/>
            <w:shd w:val="clear" w:color="000000" w:fill="FFFFFF"/>
            <w:noWrap/>
            <w:vAlign w:val="center"/>
            <w:hideMark/>
          </w:tcPr>
          <w:p w14:paraId="6CF046F5" w14:textId="77777777" w:rsidR="00820C57" w:rsidRPr="003B2AB8" w:rsidRDefault="00820C57" w:rsidP="004946BF">
            <w:pPr>
              <w:jc w:val="center"/>
              <w:rPr>
                <w:sz w:val="20"/>
                <w:szCs w:val="20"/>
              </w:rPr>
            </w:pPr>
            <w:r w:rsidRPr="003B2AB8">
              <w:rPr>
                <w:sz w:val="20"/>
                <w:szCs w:val="20"/>
              </w:rPr>
              <w:t>94.5%</w:t>
            </w:r>
          </w:p>
        </w:tc>
        <w:tc>
          <w:tcPr>
            <w:tcW w:w="1659" w:type="dxa"/>
            <w:shd w:val="clear" w:color="000000" w:fill="FFFFFF"/>
            <w:noWrap/>
            <w:vAlign w:val="center"/>
            <w:hideMark/>
          </w:tcPr>
          <w:p w14:paraId="58DF1073" w14:textId="77777777" w:rsidR="00820C57" w:rsidRPr="003B2AB8" w:rsidRDefault="00820C57" w:rsidP="004946BF">
            <w:pPr>
              <w:jc w:val="center"/>
              <w:rPr>
                <w:sz w:val="20"/>
                <w:szCs w:val="20"/>
              </w:rPr>
            </w:pPr>
            <w:r w:rsidRPr="003B2AB8">
              <w:rPr>
                <w:sz w:val="20"/>
                <w:szCs w:val="20"/>
              </w:rPr>
              <w:t>4.2%</w:t>
            </w:r>
          </w:p>
        </w:tc>
        <w:tc>
          <w:tcPr>
            <w:tcW w:w="0" w:type="auto"/>
            <w:shd w:val="clear" w:color="000000" w:fill="FFFFFF"/>
            <w:noWrap/>
            <w:vAlign w:val="center"/>
            <w:hideMark/>
          </w:tcPr>
          <w:p w14:paraId="0086F7E7" w14:textId="77777777" w:rsidR="00820C57" w:rsidRPr="003B2AB8" w:rsidRDefault="00820C57" w:rsidP="004946BF">
            <w:pPr>
              <w:jc w:val="center"/>
              <w:rPr>
                <w:sz w:val="20"/>
                <w:szCs w:val="20"/>
              </w:rPr>
            </w:pPr>
            <w:r w:rsidRPr="003B2AB8">
              <w:rPr>
                <w:sz w:val="20"/>
                <w:szCs w:val="20"/>
              </w:rPr>
              <w:t>1.4%</w:t>
            </w:r>
          </w:p>
        </w:tc>
      </w:tr>
      <w:tr w:rsidR="00820C57" w:rsidRPr="003B2AB8" w14:paraId="767BEA09" w14:textId="77777777" w:rsidTr="000D1397">
        <w:trPr>
          <w:trHeight w:val="285"/>
        </w:trPr>
        <w:tc>
          <w:tcPr>
            <w:tcW w:w="1635" w:type="dxa"/>
            <w:shd w:val="clear" w:color="000000" w:fill="BFBFBF"/>
            <w:vAlign w:val="center"/>
            <w:hideMark/>
          </w:tcPr>
          <w:p w14:paraId="59436940" w14:textId="77777777" w:rsidR="00820C57" w:rsidRPr="003B2AB8" w:rsidRDefault="00820C57" w:rsidP="004946BF">
            <w:pPr>
              <w:rPr>
                <w:sz w:val="20"/>
                <w:szCs w:val="20"/>
              </w:rPr>
            </w:pPr>
            <w:r w:rsidRPr="003B2AB8">
              <w:rPr>
                <w:sz w:val="20"/>
                <w:szCs w:val="20"/>
              </w:rPr>
              <w:t>Composition</w:t>
            </w:r>
          </w:p>
        </w:tc>
        <w:tc>
          <w:tcPr>
            <w:tcW w:w="1260" w:type="dxa"/>
            <w:shd w:val="clear" w:color="000000" w:fill="FFFFFF"/>
            <w:noWrap/>
            <w:vAlign w:val="center"/>
            <w:hideMark/>
          </w:tcPr>
          <w:p w14:paraId="0A29A4A1" w14:textId="77777777" w:rsidR="00820C57" w:rsidRPr="003B2AB8" w:rsidRDefault="00820C57" w:rsidP="004946BF">
            <w:pPr>
              <w:jc w:val="center"/>
              <w:rPr>
                <w:sz w:val="20"/>
                <w:szCs w:val="20"/>
              </w:rPr>
            </w:pPr>
            <w:r w:rsidRPr="003B2AB8">
              <w:rPr>
                <w:sz w:val="20"/>
                <w:szCs w:val="20"/>
              </w:rPr>
              <w:t>1</w:t>
            </w:r>
          </w:p>
        </w:tc>
        <w:tc>
          <w:tcPr>
            <w:tcW w:w="1260" w:type="dxa"/>
            <w:shd w:val="clear" w:color="000000" w:fill="FFFFFF"/>
            <w:noWrap/>
            <w:vAlign w:val="center"/>
            <w:hideMark/>
          </w:tcPr>
          <w:p w14:paraId="7A9D68EF" w14:textId="77777777" w:rsidR="00820C57" w:rsidRPr="003B2AB8" w:rsidRDefault="00820C57" w:rsidP="004946BF">
            <w:pPr>
              <w:jc w:val="center"/>
              <w:rPr>
                <w:sz w:val="20"/>
                <w:szCs w:val="20"/>
              </w:rPr>
            </w:pPr>
            <w:r w:rsidRPr="003B2AB8">
              <w:rPr>
                <w:sz w:val="20"/>
                <w:szCs w:val="20"/>
              </w:rPr>
              <w:t>1</w:t>
            </w:r>
          </w:p>
        </w:tc>
        <w:tc>
          <w:tcPr>
            <w:tcW w:w="1890" w:type="dxa"/>
            <w:shd w:val="clear" w:color="000000" w:fill="FFFFFF"/>
            <w:noWrap/>
            <w:vAlign w:val="center"/>
            <w:hideMark/>
          </w:tcPr>
          <w:p w14:paraId="03CF9EBA" w14:textId="77777777" w:rsidR="00820C57" w:rsidRPr="003B2AB8" w:rsidRDefault="00820C57" w:rsidP="004946BF">
            <w:pPr>
              <w:jc w:val="center"/>
              <w:rPr>
                <w:sz w:val="20"/>
                <w:szCs w:val="20"/>
              </w:rPr>
            </w:pPr>
            <w:r w:rsidRPr="003B2AB8">
              <w:rPr>
                <w:sz w:val="20"/>
                <w:szCs w:val="20"/>
              </w:rPr>
              <w:t>75.0%</w:t>
            </w:r>
          </w:p>
        </w:tc>
        <w:tc>
          <w:tcPr>
            <w:tcW w:w="1659" w:type="dxa"/>
            <w:shd w:val="clear" w:color="000000" w:fill="FFFFFF"/>
            <w:noWrap/>
            <w:vAlign w:val="center"/>
            <w:hideMark/>
          </w:tcPr>
          <w:p w14:paraId="4F08E976" w14:textId="77777777" w:rsidR="00820C57" w:rsidRPr="003B2AB8" w:rsidRDefault="00820C57" w:rsidP="004946BF">
            <w:pPr>
              <w:jc w:val="center"/>
              <w:rPr>
                <w:sz w:val="20"/>
                <w:szCs w:val="20"/>
              </w:rPr>
            </w:pPr>
            <w:r w:rsidRPr="003B2AB8">
              <w:rPr>
                <w:sz w:val="20"/>
                <w:szCs w:val="20"/>
              </w:rPr>
              <w:t>25.0%</w:t>
            </w:r>
          </w:p>
        </w:tc>
        <w:tc>
          <w:tcPr>
            <w:tcW w:w="0" w:type="auto"/>
            <w:shd w:val="clear" w:color="000000" w:fill="FFFFFF"/>
            <w:noWrap/>
            <w:vAlign w:val="center"/>
            <w:hideMark/>
          </w:tcPr>
          <w:p w14:paraId="23F12DEF" w14:textId="77777777" w:rsidR="00820C57" w:rsidRPr="003B2AB8" w:rsidRDefault="00820C57" w:rsidP="004946BF">
            <w:pPr>
              <w:jc w:val="center"/>
              <w:rPr>
                <w:sz w:val="20"/>
                <w:szCs w:val="20"/>
              </w:rPr>
            </w:pPr>
            <w:r w:rsidRPr="003B2AB8">
              <w:rPr>
                <w:sz w:val="20"/>
                <w:szCs w:val="20"/>
              </w:rPr>
              <w:t>0.0%</w:t>
            </w:r>
          </w:p>
        </w:tc>
      </w:tr>
      <w:tr w:rsidR="00820C57" w:rsidRPr="003B2AB8" w14:paraId="1F4CECA7" w14:textId="77777777" w:rsidTr="000D1397">
        <w:trPr>
          <w:trHeight w:val="300"/>
        </w:trPr>
        <w:tc>
          <w:tcPr>
            <w:tcW w:w="1635" w:type="dxa"/>
            <w:shd w:val="clear" w:color="000000" w:fill="BFBFBF"/>
            <w:vAlign w:val="center"/>
            <w:hideMark/>
          </w:tcPr>
          <w:p w14:paraId="0ACE4EAA" w14:textId="77777777" w:rsidR="00820C57" w:rsidRPr="003B2AB8" w:rsidRDefault="00820C57" w:rsidP="004946BF">
            <w:pPr>
              <w:rPr>
                <w:b/>
                <w:bCs/>
                <w:sz w:val="20"/>
                <w:szCs w:val="20"/>
              </w:rPr>
            </w:pPr>
            <w:r w:rsidRPr="003B2AB8">
              <w:rPr>
                <w:b/>
                <w:bCs/>
                <w:sz w:val="20"/>
                <w:szCs w:val="20"/>
              </w:rPr>
              <w:t>Total</w:t>
            </w:r>
          </w:p>
        </w:tc>
        <w:tc>
          <w:tcPr>
            <w:tcW w:w="1260" w:type="dxa"/>
            <w:shd w:val="clear" w:color="000000" w:fill="FFFFFF"/>
            <w:noWrap/>
            <w:vAlign w:val="center"/>
            <w:hideMark/>
          </w:tcPr>
          <w:p w14:paraId="27AC78BF" w14:textId="77777777" w:rsidR="00820C57" w:rsidRPr="003B2AB8" w:rsidRDefault="00820C57" w:rsidP="004946BF">
            <w:pPr>
              <w:jc w:val="center"/>
              <w:rPr>
                <w:b/>
                <w:bCs/>
                <w:sz w:val="20"/>
                <w:szCs w:val="20"/>
              </w:rPr>
            </w:pPr>
            <w:r w:rsidRPr="003B2AB8">
              <w:rPr>
                <w:b/>
                <w:bCs/>
                <w:sz w:val="20"/>
                <w:szCs w:val="20"/>
              </w:rPr>
              <w:t>19</w:t>
            </w:r>
          </w:p>
        </w:tc>
        <w:tc>
          <w:tcPr>
            <w:tcW w:w="1260" w:type="dxa"/>
            <w:shd w:val="clear" w:color="000000" w:fill="FFFFFF"/>
            <w:noWrap/>
            <w:vAlign w:val="center"/>
            <w:hideMark/>
          </w:tcPr>
          <w:p w14:paraId="1EA0F894" w14:textId="77777777" w:rsidR="00820C57" w:rsidRPr="003B2AB8" w:rsidRDefault="00820C57" w:rsidP="004946BF">
            <w:pPr>
              <w:jc w:val="center"/>
              <w:rPr>
                <w:b/>
                <w:bCs/>
                <w:sz w:val="20"/>
                <w:szCs w:val="20"/>
              </w:rPr>
            </w:pPr>
            <w:r w:rsidRPr="003B2AB8">
              <w:rPr>
                <w:b/>
                <w:bCs/>
                <w:sz w:val="20"/>
                <w:szCs w:val="20"/>
              </w:rPr>
              <w:t>19</w:t>
            </w:r>
          </w:p>
        </w:tc>
        <w:tc>
          <w:tcPr>
            <w:tcW w:w="1890" w:type="dxa"/>
            <w:shd w:val="clear" w:color="000000" w:fill="FFFFFF"/>
            <w:noWrap/>
            <w:vAlign w:val="center"/>
            <w:hideMark/>
          </w:tcPr>
          <w:p w14:paraId="206CFA4B" w14:textId="77777777" w:rsidR="00820C57" w:rsidRPr="003B2AB8" w:rsidRDefault="00820C57" w:rsidP="004946BF">
            <w:pPr>
              <w:jc w:val="center"/>
              <w:rPr>
                <w:b/>
                <w:bCs/>
                <w:sz w:val="20"/>
                <w:szCs w:val="20"/>
              </w:rPr>
            </w:pPr>
            <w:r w:rsidRPr="003B2AB8">
              <w:rPr>
                <w:b/>
                <w:bCs/>
                <w:sz w:val="20"/>
                <w:szCs w:val="20"/>
              </w:rPr>
              <w:t>93.4%</w:t>
            </w:r>
          </w:p>
        </w:tc>
        <w:tc>
          <w:tcPr>
            <w:tcW w:w="1659" w:type="dxa"/>
            <w:shd w:val="clear" w:color="000000" w:fill="FFFFFF"/>
            <w:noWrap/>
            <w:vAlign w:val="center"/>
            <w:hideMark/>
          </w:tcPr>
          <w:p w14:paraId="0FCACF63" w14:textId="77777777" w:rsidR="00820C57" w:rsidRPr="003B2AB8" w:rsidRDefault="00820C57" w:rsidP="004946BF">
            <w:pPr>
              <w:jc w:val="center"/>
              <w:rPr>
                <w:b/>
                <w:bCs/>
                <w:sz w:val="20"/>
                <w:szCs w:val="20"/>
              </w:rPr>
            </w:pPr>
            <w:r w:rsidRPr="003B2AB8">
              <w:rPr>
                <w:b/>
                <w:bCs/>
                <w:sz w:val="20"/>
                <w:szCs w:val="20"/>
              </w:rPr>
              <w:t>5.3%</w:t>
            </w:r>
          </w:p>
        </w:tc>
        <w:tc>
          <w:tcPr>
            <w:tcW w:w="0" w:type="auto"/>
            <w:shd w:val="clear" w:color="000000" w:fill="FFFFFF"/>
            <w:noWrap/>
            <w:vAlign w:val="center"/>
            <w:hideMark/>
          </w:tcPr>
          <w:p w14:paraId="7282CF05" w14:textId="77777777" w:rsidR="00820C57" w:rsidRPr="003B2AB8" w:rsidRDefault="00820C57" w:rsidP="004946BF">
            <w:pPr>
              <w:jc w:val="center"/>
              <w:rPr>
                <w:b/>
                <w:bCs/>
                <w:sz w:val="20"/>
                <w:szCs w:val="20"/>
              </w:rPr>
            </w:pPr>
            <w:r w:rsidRPr="003B2AB8">
              <w:rPr>
                <w:b/>
                <w:bCs/>
                <w:sz w:val="20"/>
                <w:szCs w:val="20"/>
              </w:rPr>
              <w:t>1.3%</w:t>
            </w:r>
          </w:p>
        </w:tc>
      </w:tr>
    </w:tbl>
    <w:p w14:paraId="651F83A1" w14:textId="77777777" w:rsidR="00820C57" w:rsidRPr="003B2AB8" w:rsidRDefault="00820C57" w:rsidP="006D2FCD"/>
    <w:p w14:paraId="0509A3D7" w14:textId="24EC3213" w:rsidR="00820C57" w:rsidRPr="003B2AB8" w:rsidRDefault="00820C57" w:rsidP="00820C57">
      <w:r w:rsidRPr="003B2AB8">
        <w:t xml:space="preserve">The </w:t>
      </w:r>
      <w:r w:rsidR="004946BF" w:rsidRPr="003B2AB8">
        <w:t xml:space="preserve">2016 </w:t>
      </w:r>
      <w:r w:rsidR="00E85F01" w:rsidRPr="003B2AB8">
        <w:t xml:space="preserve">grade 7 </w:t>
      </w:r>
      <w:r w:rsidR="008318E9" w:rsidRPr="003B2AB8">
        <w:t xml:space="preserve">writing </w:t>
      </w:r>
      <w:r w:rsidR="004946BF" w:rsidRPr="003B2AB8">
        <w:t xml:space="preserve">STAAR test form </w:t>
      </w:r>
      <w:r w:rsidRPr="003B2AB8">
        <w:t xml:space="preserve">content review results are presented in Table 6. The number of items included on the test form matched the blueprint overall, </w:t>
      </w:r>
      <w:r w:rsidR="00AD5432" w:rsidRPr="003B2AB8">
        <w:t xml:space="preserve">as well as </w:t>
      </w:r>
      <w:r w:rsidRPr="003B2AB8">
        <w:t>at each reporting category, for each standard type, and by item type.</w:t>
      </w:r>
    </w:p>
    <w:p w14:paraId="5DDF153E" w14:textId="77777777" w:rsidR="00C03930" w:rsidRPr="003B2AB8" w:rsidRDefault="00C03930" w:rsidP="00820C57"/>
    <w:p w14:paraId="523ED6D2" w14:textId="77777777" w:rsidR="00820C57" w:rsidRPr="003B2AB8" w:rsidRDefault="00820C57" w:rsidP="00820C57">
      <w:r w:rsidRPr="003B2AB8">
        <w:t xml:space="preserve">Reporting category 3 (Editing) included the highest percentage of items rated as fully aligned to the expectation. Category 1 (Composition) had the lowest; however, only one composition item was included on the form, and three of the four raters found it to be fully aligned. </w:t>
      </w:r>
      <w:r w:rsidR="00EC63C7" w:rsidRPr="003B2AB8">
        <w:t>For reporting category 2 (Revision), on average,</w:t>
      </w:r>
      <w:r w:rsidRPr="003B2AB8">
        <w:t xml:space="preserve"> </w:t>
      </w:r>
      <w:r w:rsidR="004946BF" w:rsidRPr="003B2AB8">
        <w:t>nearly</w:t>
      </w:r>
      <w:r w:rsidRPr="003B2AB8">
        <w:t xml:space="preserve"> 10% of the 13 items</w:t>
      </w:r>
      <w:r w:rsidR="00EC63C7" w:rsidRPr="003B2AB8">
        <w:t xml:space="preserve"> were</w:t>
      </w:r>
      <w:r w:rsidRPr="003B2AB8">
        <w:t xml:space="preserve"> rated as not aligned. </w:t>
      </w:r>
      <w:r w:rsidR="00EC63C7" w:rsidRPr="003B2AB8">
        <w:t xml:space="preserve">The content review task lead </w:t>
      </w:r>
      <w:r w:rsidRPr="003B2AB8">
        <w:t xml:space="preserve">reviewed </w:t>
      </w:r>
      <w:r w:rsidR="00EC63C7" w:rsidRPr="003B2AB8">
        <w:t xml:space="preserve">the </w:t>
      </w:r>
      <w:r w:rsidRPr="003B2AB8">
        <w:t xml:space="preserve">rater data and comments and found that in each case </w:t>
      </w:r>
      <w:r w:rsidR="00EC63C7" w:rsidRPr="003B2AB8">
        <w:t>when a</w:t>
      </w:r>
      <w:r w:rsidRPr="003B2AB8">
        <w:t xml:space="preserve"> rating of not aligned was given, the rater felt that the item content aligned to a different TEKS expectation within </w:t>
      </w:r>
      <w:r w:rsidR="00EC63C7" w:rsidRPr="003B2AB8">
        <w:t xml:space="preserve">the same reporting category. </w:t>
      </w:r>
      <w:r w:rsidRPr="003B2AB8">
        <w:t xml:space="preserve">As indicated by the data summarized in Table 6, the majority of these items are supporting standards. </w:t>
      </w:r>
    </w:p>
    <w:p w14:paraId="4FC41453" w14:textId="77777777" w:rsidR="00D9190B" w:rsidRPr="003B2AB8" w:rsidRDefault="00D9190B" w:rsidP="00820C57"/>
    <w:p w14:paraId="304C8C6B" w14:textId="77777777" w:rsidR="00820C57" w:rsidRPr="003B2AB8" w:rsidRDefault="00820C57" w:rsidP="007D0070">
      <w:pPr>
        <w:pStyle w:val="HTable"/>
      </w:pPr>
      <w:bookmarkStart w:id="21" w:name="_Toc446071681"/>
      <w:r w:rsidRPr="003B2AB8">
        <w:t xml:space="preserve">Table 6. Grade 7 </w:t>
      </w:r>
      <w:r w:rsidR="00D91D57" w:rsidRPr="003B2AB8">
        <w:t>W</w:t>
      </w:r>
      <w:r w:rsidRPr="003B2AB8">
        <w:t xml:space="preserve">riting </w:t>
      </w:r>
      <w:r w:rsidR="00FD3F81" w:rsidRPr="003B2AB8">
        <w:t>C</w:t>
      </w:r>
      <w:r w:rsidRPr="003B2AB8">
        <w:t xml:space="preserve">ontent </w:t>
      </w:r>
      <w:r w:rsidR="00FD3F81" w:rsidRPr="003B2AB8">
        <w:t>A</w:t>
      </w:r>
      <w:r w:rsidRPr="003B2AB8">
        <w:t xml:space="preserve">lignment and </w:t>
      </w:r>
      <w:r w:rsidR="00FD3F81" w:rsidRPr="003B2AB8">
        <w:t>B</w:t>
      </w:r>
      <w:r w:rsidRPr="003B2AB8">
        <w:t xml:space="preserve">lueprint </w:t>
      </w:r>
      <w:r w:rsidR="00FD3F81" w:rsidRPr="003B2AB8">
        <w:t>C</w:t>
      </w:r>
      <w:r w:rsidRPr="003B2AB8">
        <w:t xml:space="preserve">onsistency </w:t>
      </w:r>
      <w:r w:rsidR="00FD3F81" w:rsidRPr="003B2AB8">
        <w:t>R</w:t>
      </w:r>
      <w:r w:rsidRPr="003B2AB8">
        <w:t>esults</w:t>
      </w:r>
      <w:bookmarkEnd w:id="21"/>
    </w:p>
    <w:tbl>
      <w:tblPr>
        <w:tblW w:w="0" w:type="auto"/>
        <w:tblInd w:w="93"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left w:w="115" w:type="dxa"/>
          <w:bottom w:w="14" w:type="dxa"/>
          <w:right w:w="115" w:type="dxa"/>
        </w:tblCellMar>
        <w:tblLook w:val="04A0" w:firstRow="1" w:lastRow="0" w:firstColumn="1" w:lastColumn="0" w:noHBand="0" w:noVBand="1"/>
      </w:tblPr>
      <w:tblGrid>
        <w:gridCol w:w="1690"/>
        <w:gridCol w:w="1207"/>
        <w:gridCol w:w="1268"/>
        <w:gridCol w:w="1767"/>
        <w:gridCol w:w="1818"/>
        <w:gridCol w:w="1747"/>
      </w:tblGrid>
      <w:tr w:rsidR="00035015" w:rsidRPr="003B2AB8" w14:paraId="74C005DB" w14:textId="77777777" w:rsidTr="00035015">
        <w:tc>
          <w:tcPr>
            <w:tcW w:w="1690" w:type="dxa"/>
            <w:tcBorders>
              <w:bottom w:val="single" w:sz="8" w:space="0" w:color="D9D9D9"/>
            </w:tcBorders>
            <w:shd w:val="clear" w:color="000000" w:fill="00528B"/>
            <w:noWrap/>
            <w:vAlign w:val="bottom"/>
            <w:hideMark/>
          </w:tcPr>
          <w:p w14:paraId="03B3BDAA" w14:textId="77777777" w:rsidR="00820C57" w:rsidRPr="003B2AB8" w:rsidRDefault="00820C57" w:rsidP="00035015">
            <w:pPr>
              <w:spacing w:after="40"/>
              <w:rPr>
                <w:color w:val="FFFFFF" w:themeColor="background1"/>
                <w:sz w:val="20"/>
                <w:szCs w:val="20"/>
              </w:rPr>
            </w:pPr>
            <w:r w:rsidRPr="003B2AB8">
              <w:rPr>
                <w:color w:val="FFFFFF" w:themeColor="background1"/>
                <w:sz w:val="20"/>
                <w:szCs w:val="20"/>
              </w:rPr>
              <w:t>Category</w:t>
            </w:r>
          </w:p>
        </w:tc>
        <w:tc>
          <w:tcPr>
            <w:tcW w:w="1207" w:type="dxa"/>
            <w:tcBorders>
              <w:bottom w:val="single" w:sz="8" w:space="0" w:color="D9D9D9"/>
            </w:tcBorders>
            <w:shd w:val="clear" w:color="000000" w:fill="00528B"/>
            <w:vAlign w:val="bottom"/>
            <w:hideMark/>
          </w:tcPr>
          <w:p w14:paraId="217FDF9A" w14:textId="77777777" w:rsidR="00820C57" w:rsidRPr="003B2AB8" w:rsidRDefault="00820C57" w:rsidP="00035015">
            <w:pPr>
              <w:spacing w:after="40"/>
              <w:jc w:val="center"/>
              <w:rPr>
                <w:color w:val="FFFFFF" w:themeColor="background1"/>
                <w:sz w:val="20"/>
                <w:szCs w:val="20"/>
              </w:rPr>
            </w:pPr>
            <w:r w:rsidRPr="003B2AB8">
              <w:rPr>
                <w:color w:val="FFFFFF" w:themeColor="background1"/>
                <w:sz w:val="20"/>
                <w:szCs w:val="20"/>
              </w:rPr>
              <w:t>Blueprint # Questions</w:t>
            </w:r>
          </w:p>
        </w:tc>
        <w:tc>
          <w:tcPr>
            <w:tcW w:w="0" w:type="auto"/>
            <w:tcBorders>
              <w:bottom w:val="single" w:sz="8" w:space="0" w:color="D9D9D9"/>
            </w:tcBorders>
            <w:shd w:val="clear" w:color="000000" w:fill="00528B"/>
            <w:vAlign w:val="bottom"/>
            <w:hideMark/>
          </w:tcPr>
          <w:p w14:paraId="41B1DD4E" w14:textId="77777777" w:rsidR="00820C57" w:rsidRPr="003B2AB8" w:rsidRDefault="00820C57" w:rsidP="00035015">
            <w:pPr>
              <w:spacing w:after="40"/>
              <w:jc w:val="center"/>
              <w:rPr>
                <w:color w:val="FFFFFF" w:themeColor="background1"/>
                <w:sz w:val="20"/>
                <w:szCs w:val="20"/>
              </w:rPr>
            </w:pPr>
            <w:r w:rsidRPr="003B2AB8">
              <w:rPr>
                <w:color w:val="FFFFFF" w:themeColor="background1"/>
                <w:sz w:val="20"/>
                <w:szCs w:val="20"/>
              </w:rPr>
              <w:t>Actual # Questions</w:t>
            </w:r>
          </w:p>
        </w:tc>
        <w:tc>
          <w:tcPr>
            <w:tcW w:w="0" w:type="auto"/>
            <w:tcBorders>
              <w:bottom w:val="single" w:sz="8" w:space="0" w:color="D9D9D9"/>
            </w:tcBorders>
            <w:shd w:val="clear" w:color="000000" w:fill="00528B"/>
            <w:vAlign w:val="bottom"/>
            <w:hideMark/>
          </w:tcPr>
          <w:p w14:paraId="5F83C251" w14:textId="77777777" w:rsidR="00820C57" w:rsidRPr="003B2AB8" w:rsidRDefault="00820C57" w:rsidP="00035015">
            <w:pPr>
              <w:spacing w:after="40"/>
              <w:jc w:val="center"/>
              <w:rPr>
                <w:color w:val="FFFFFF" w:themeColor="background1"/>
                <w:sz w:val="20"/>
                <w:szCs w:val="20"/>
              </w:rPr>
            </w:pPr>
            <w:r w:rsidRPr="003B2AB8">
              <w:rPr>
                <w:color w:val="FFFFFF" w:themeColor="background1"/>
                <w:sz w:val="20"/>
                <w:szCs w:val="20"/>
              </w:rPr>
              <w:t>Average Items Fully Aligned to Expectation</w:t>
            </w:r>
          </w:p>
        </w:tc>
        <w:tc>
          <w:tcPr>
            <w:tcW w:w="0" w:type="auto"/>
            <w:tcBorders>
              <w:bottom w:val="single" w:sz="8" w:space="0" w:color="D9D9D9"/>
            </w:tcBorders>
            <w:shd w:val="clear" w:color="000000" w:fill="00528B"/>
            <w:vAlign w:val="bottom"/>
            <w:hideMark/>
          </w:tcPr>
          <w:p w14:paraId="5CC2741E" w14:textId="77777777" w:rsidR="00820C57" w:rsidRPr="003B2AB8" w:rsidRDefault="00820C57" w:rsidP="00035015">
            <w:pPr>
              <w:spacing w:after="40"/>
              <w:jc w:val="center"/>
              <w:rPr>
                <w:color w:val="FFFFFF" w:themeColor="background1"/>
                <w:sz w:val="20"/>
                <w:szCs w:val="20"/>
              </w:rPr>
            </w:pPr>
            <w:r w:rsidRPr="003B2AB8">
              <w:rPr>
                <w:color w:val="FFFFFF" w:themeColor="background1"/>
                <w:sz w:val="20"/>
                <w:szCs w:val="20"/>
              </w:rPr>
              <w:t>Average Items Partially Aligned to Expectation</w:t>
            </w:r>
          </w:p>
        </w:tc>
        <w:tc>
          <w:tcPr>
            <w:tcW w:w="0" w:type="auto"/>
            <w:tcBorders>
              <w:bottom w:val="single" w:sz="8" w:space="0" w:color="D9D9D9"/>
            </w:tcBorders>
            <w:shd w:val="clear" w:color="000000" w:fill="00528B"/>
            <w:vAlign w:val="bottom"/>
            <w:hideMark/>
          </w:tcPr>
          <w:p w14:paraId="2AED82CF" w14:textId="77777777" w:rsidR="00820C57" w:rsidRPr="003B2AB8" w:rsidRDefault="00035015" w:rsidP="00035015">
            <w:pPr>
              <w:spacing w:after="40"/>
              <w:jc w:val="center"/>
              <w:rPr>
                <w:color w:val="FFFFFF" w:themeColor="background1"/>
                <w:sz w:val="20"/>
                <w:szCs w:val="20"/>
              </w:rPr>
            </w:pPr>
            <w:r w:rsidRPr="003B2AB8">
              <w:rPr>
                <w:color w:val="FFFFFF" w:themeColor="background1"/>
                <w:sz w:val="20"/>
                <w:szCs w:val="20"/>
              </w:rPr>
              <w:t xml:space="preserve">Average Items Not Aligned </w:t>
            </w:r>
            <w:r w:rsidR="00820C57" w:rsidRPr="003B2AB8">
              <w:rPr>
                <w:color w:val="FFFFFF" w:themeColor="background1"/>
                <w:sz w:val="20"/>
                <w:szCs w:val="20"/>
              </w:rPr>
              <w:t>to Expectation</w:t>
            </w:r>
          </w:p>
        </w:tc>
      </w:tr>
      <w:tr w:rsidR="00035015" w:rsidRPr="003B2AB8" w14:paraId="6D30B3DD" w14:textId="77777777" w:rsidTr="00035015">
        <w:tc>
          <w:tcPr>
            <w:tcW w:w="0" w:type="auto"/>
            <w:gridSpan w:val="6"/>
            <w:shd w:val="clear" w:color="000000" w:fill="0080BA"/>
            <w:noWrap/>
            <w:vAlign w:val="center"/>
            <w:hideMark/>
          </w:tcPr>
          <w:p w14:paraId="05AD876A" w14:textId="77777777" w:rsidR="00820C57" w:rsidRPr="003B2AB8" w:rsidRDefault="00820C57" w:rsidP="00035015">
            <w:pPr>
              <w:jc w:val="center"/>
              <w:rPr>
                <w:color w:val="FFFFFF" w:themeColor="background1"/>
                <w:sz w:val="20"/>
                <w:szCs w:val="20"/>
              </w:rPr>
            </w:pPr>
            <w:r w:rsidRPr="003B2AB8">
              <w:rPr>
                <w:color w:val="FFFFFF" w:themeColor="background1"/>
                <w:sz w:val="20"/>
                <w:szCs w:val="20"/>
              </w:rPr>
              <w:t>Reporting Category</w:t>
            </w:r>
          </w:p>
        </w:tc>
      </w:tr>
      <w:tr w:rsidR="00820C57" w:rsidRPr="003B2AB8" w14:paraId="59196B92" w14:textId="77777777" w:rsidTr="00035015">
        <w:trPr>
          <w:trHeight w:val="285"/>
        </w:trPr>
        <w:tc>
          <w:tcPr>
            <w:tcW w:w="1690" w:type="dxa"/>
            <w:shd w:val="clear" w:color="000000" w:fill="BFBFBF"/>
            <w:vAlign w:val="center"/>
            <w:hideMark/>
          </w:tcPr>
          <w:p w14:paraId="007114A2" w14:textId="77777777" w:rsidR="00820C57" w:rsidRPr="003B2AB8" w:rsidRDefault="00820C57" w:rsidP="004946BF">
            <w:pPr>
              <w:rPr>
                <w:sz w:val="20"/>
                <w:szCs w:val="20"/>
              </w:rPr>
            </w:pPr>
            <w:r w:rsidRPr="003B2AB8">
              <w:rPr>
                <w:sz w:val="20"/>
                <w:szCs w:val="20"/>
              </w:rPr>
              <w:t>1: Composition</w:t>
            </w:r>
          </w:p>
        </w:tc>
        <w:tc>
          <w:tcPr>
            <w:tcW w:w="1207" w:type="dxa"/>
            <w:shd w:val="clear" w:color="000000" w:fill="FFFFFF"/>
            <w:noWrap/>
            <w:vAlign w:val="center"/>
            <w:hideMark/>
          </w:tcPr>
          <w:p w14:paraId="0D313B55" w14:textId="77777777" w:rsidR="00820C57" w:rsidRPr="003B2AB8" w:rsidRDefault="00820C57" w:rsidP="00820C57">
            <w:pPr>
              <w:jc w:val="center"/>
              <w:rPr>
                <w:sz w:val="20"/>
                <w:szCs w:val="20"/>
              </w:rPr>
            </w:pPr>
            <w:r w:rsidRPr="003B2AB8">
              <w:rPr>
                <w:sz w:val="20"/>
                <w:szCs w:val="20"/>
              </w:rPr>
              <w:t>1</w:t>
            </w:r>
          </w:p>
        </w:tc>
        <w:tc>
          <w:tcPr>
            <w:tcW w:w="0" w:type="auto"/>
            <w:shd w:val="clear" w:color="000000" w:fill="FFFFFF"/>
            <w:noWrap/>
            <w:vAlign w:val="center"/>
            <w:hideMark/>
          </w:tcPr>
          <w:p w14:paraId="34BDF35D" w14:textId="77777777" w:rsidR="00820C57" w:rsidRPr="003B2AB8" w:rsidRDefault="00820C57" w:rsidP="00820C57">
            <w:pPr>
              <w:jc w:val="center"/>
              <w:rPr>
                <w:sz w:val="20"/>
                <w:szCs w:val="20"/>
              </w:rPr>
            </w:pPr>
            <w:r w:rsidRPr="003B2AB8">
              <w:rPr>
                <w:sz w:val="20"/>
                <w:szCs w:val="20"/>
              </w:rPr>
              <w:t>1</w:t>
            </w:r>
          </w:p>
        </w:tc>
        <w:tc>
          <w:tcPr>
            <w:tcW w:w="0" w:type="auto"/>
            <w:shd w:val="clear" w:color="000000" w:fill="FFFFFF"/>
            <w:noWrap/>
            <w:vAlign w:val="center"/>
            <w:hideMark/>
          </w:tcPr>
          <w:p w14:paraId="762E00B3" w14:textId="77777777" w:rsidR="00820C57" w:rsidRPr="003B2AB8" w:rsidRDefault="00820C57" w:rsidP="00820C57">
            <w:pPr>
              <w:jc w:val="center"/>
              <w:rPr>
                <w:sz w:val="20"/>
                <w:szCs w:val="20"/>
              </w:rPr>
            </w:pPr>
            <w:r w:rsidRPr="003B2AB8">
              <w:rPr>
                <w:sz w:val="20"/>
                <w:szCs w:val="20"/>
              </w:rPr>
              <w:t>75.0%</w:t>
            </w:r>
          </w:p>
        </w:tc>
        <w:tc>
          <w:tcPr>
            <w:tcW w:w="0" w:type="auto"/>
            <w:shd w:val="clear" w:color="000000" w:fill="FFFFFF"/>
            <w:noWrap/>
            <w:vAlign w:val="center"/>
            <w:hideMark/>
          </w:tcPr>
          <w:p w14:paraId="5DDDC747" w14:textId="77777777" w:rsidR="00820C57" w:rsidRPr="003B2AB8" w:rsidRDefault="00820C57" w:rsidP="00820C57">
            <w:pPr>
              <w:jc w:val="center"/>
              <w:rPr>
                <w:sz w:val="20"/>
                <w:szCs w:val="20"/>
              </w:rPr>
            </w:pPr>
            <w:r w:rsidRPr="003B2AB8">
              <w:rPr>
                <w:sz w:val="20"/>
                <w:szCs w:val="20"/>
              </w:rPr>
              <w:t>25.0%</w:t>
            </w:r>
          </w:p>
        </w:tc>
        <w:tc>
          <w:tcPr>
            <w:tcW w:w="0" w:type="auto"/>
            <w:shd w:val="clear" w:color="000000" w:fill="FFFFFF"/>
            <w:noWrap/>
            <w:vAlign w:val="center"/>
            <w:hideMark/>
          </w:tcPr>
          <w:p w14:paraId="2032D4C6" w14:textId="77777777" w:rsidR="00820C57" w:rsidRPr="003B2AB8" w:rsidRDefault="00820C57" w:rsidP="00820C57">
            <w:pPr>
              <w:jc w:val="center"/>
              <w:rPr>
                <w:sz w:val="20"/>
                <w:szCs w:val="20"/>
              </w:rPr>
            </w:pPr>
            <w:r w:rsidRPr="003B2AB8">
              <w:rPr>
                <w:sz w:val="20"/>
                <w:szCs w:val="20"/>
              </w:rPr>
              <w:t>0.0%</w:t>
            </w:r>
          </w:p>
        </w:tc>
      </w:tr>
      <w:tr w:rsidR="00820C57" w:rsidRPr="003B2AB8" w14:paraId="505F0D8E" w14:textId="77777777" w:rsidTr="00035015">
        <w:trPr>
          <w:trHeight w:val="285"/>
        </w:trPr>
        <w:tc>
          <w:tcPr>
            <w:tcW w:w="1690" w:type="dxa"/>
            <w:shd w:val="clear" w:color="000000" w:fill="BFBFBF"/>
            <w:vAlign w:val="center"/>
            <w:hideMark/>
          </w:tcPr>
          <w:p w14:paraId="3F40B05B" w14:textId="77777777" w:rsidR="00820C57" w:rsidRPr="003B2AB8" w:rsidRDefault="00820C57" w:rsidP="004946BF">
            <w:pPr>
              <w:rPr>
                <w:sz w:val="20"/>
                <w:szCs w:val="20"/>
              </w:rPr>
            </w:pPr>
            <w:r w:rsidRPr="003B2AB8">
              <w:rPr>
                <w:sz w:val="20"/>
                <w:szCs w:val="20"/>
              </w:rPr>
              <w:t>2: Revision</w:t>
            </w:r>
          </w:p>
        </w:tc>
        <w:tc>
          <w:tcPr>
            <w:tcW w:w="1207" w:type="dxa"/>
            <w:shd w:val="clear" w:color="000000" w:fill="FFFFFF"/>
            <w:noWrap/>
            <w:vAlign w:val="center"/>
            <w:hideMark/>
          </w:tcPr>
          <w:p w14:paraId="2FBA779D" w14:textId="77777777" w:rsidR="00820C57" w:rsidRPr="003B2AB8" w:rsidRDefault="00820C57" w:rsidP="00820C57">
            <w:pPr>
              <w:jc w:val="center"/>
              <w:rPr>
                <w:sz w:val="20"/>
                <w:szCs w:val="20"/>
              </w:rPr>
            </w:pPr>
            <w:r w:rsidRPr="003B2AB8">
              <w:rPr>
                <w:sz w:val="20"/>
                <w:szCs w:val="20"/>
              </w:rPr>
              <w:t>13</w:t>
            </w:r>
          </w:p>
        </w:tc>
        <w:tc>
          <w:tcPr>
            <w:tcW w:w="0" w:type="auto"/>
            <w:shd w:val="clear" w:color="000000" w:fill="FFFFFF"/>
            <w:noWrap/>
            <w:vAlign w:val="center"/>
            <w:hideMark/>
          </w:tcPr>
          <w:p w14:paraId="1F8B92BC" w14:textId="77777777" w:rsidR="00820C57" w:rsidRPr="003B2AB8" w:rsidRDefault="00820C57" w:rsidP="00820C57">
            <w:pPr>
              <w:jc w:val="center"/>
              <w:rPr>
                <w:sz w:val="20"/>
                <w:szCs w:val="20"/>
              </w:rPr>
            </w:pPr>
            <w:r w:rsidRPr="003B2AB8">
              <w:rPr>
                <w:sz w:val="20"/>
                <w:szCs w:val="20"/>
              </w:rPr>
              <w:t>13</w:t>
            </w:r>
          </w:p>
        </w:tc>
        <w:tc>
          <w:tcPr>
            <w:tcW w:w="0" w:type="auto"/>
            <w:shd w:val="clear" w:color="000000" w:fill="FFFFFF"/>
            <w:noWrap/>
            <w:vAlign w:val="center"/>
            <w:hideMark/>
          </w:tcPr>
          <w:p w14:paraId="488901D3" w14:textId="77777777" w:rsidR="00820C57" w:rsidRPr="003B2AB8" w:rsidRDefault="00820C57" w:rsidP="00820C57">
            <w:pPr>
              <w:jc w:val="center"/>
              <w:rPr>
                <w:sz w:val="20"/>
                <w:szCs w:val="20"/>
              </w:rPr>
            </w:pPr>
            <w:r w:rsidRPr="003B2AB8">
              <w:rPr>
                <w:sz w:val="20"/>
                <w:szCs w:val="20"/>
              </w:rPr>
              <w:t>84.6%</w:t>
            </w:r>
          </w:p>
        </w:tc>
        <w:tc>
          <w:tcPr>
            <w:tcW w:w="0" w:type="auto"/>
            <w:shd w:val="clear" w:color="000000" w:fill="FFFFFF"/>
            <w:noWrap/>
            <w:vAlign w:val="center"/>
            <w:hideMark/>
          </w:tcPr>
          <w:p w14:paraId="4B17D916" w14:textId="77777777" w:rsidR="00820C57" w:rsidRPr="003B2AB8" w:rsidRDefault="00820C57" w:rsidP="00820C57">
            <w:pPr>
              <w:jc w:val="center"/>
              <w:rPr>
                <w:sz w:val="20"/>
                <w:szCs w:val="20"/>
              </w:rPr>
            </w:pPr>
            <w:r w:rsidRPr="003B2AB8">
              <w:rPr>
                <w:sz w:val="20"/>
                <w:szCs w:val="20"/>
              </w:rPr>
              <w:t>5.8%</w:t>
            </w:r>
          </w:p>
        </w:tc>
        <w:tc>
          <w:tcPr>
            <w:tcW w:w="0" w:type="auto"/>
            <w:shd w:val="clear" w:color="000000" w:fill="FFFFFF"/>
            <w:noWrap/>
            <w:vAlign w:val="center"/>
            <w:hideMark/>
          </w:tcPr>
          <w:p w14:paraId="6CF00E3C" w14:textId="77777777" w:rsidR="00820C57" w:rsidRPr="003B2AB8" w:rsidRDefault="00820C57" w:rsidP="00820C57">
            <w:pPr>
              <w:jc w:val="center"/>
              <w:rPr>
                <w:sz w:val="20"/>
                <w:szCs w:val="20"/>
              </w:rPr>
            </w:pPr>
            <w:r w:rsidRPr="003B2AB8">
              <w:rPr>
                <w:sz w:val="20"/>
                <w:szCs w:val="20"/>
              </w:rPr>
              <w:t>9.6%</w:t>
            </w:r>
          </w:p>
        </w:tc>
      </w:tr>
      <w:tr w:rsidR="00820C57" w:rsidRPr="003B2AB8" w14:paraId="3970E080" w14:textId="77777777" w:rsidTr="00035015">
        <w:trPr>
          <w:trHeight w:val="285"/>
        </w:trPr>
        <w:tc>
          <w:tcPr>
            <w:tcW w:w="1690" w:type="dxa"/>
            <w:tcBorders>
              <w:bottom w:val="single" w:sz="8" w:space="0" w:color="D9D9D9"/>
            </w:tcBorders>
            <w:shd w:val="clear" w:color="000000" w:fill="BFBFBF"/>
            <w:vAlign w:val="center"/>
            <w:hideMark/>
          </w:tcPr>
          <w:p w14:paraId="6997E0DE" w14:textId="77777777" w:rsidR="00820C57" w:rsidRPr="003B2AB8" w:rsidRDefault="00820C57" w:rsidP="004946BF">
            <w:pPr>
              <w:rPr>
                <w:sz w:val="20"/>
                <w:szCs w:val="20"/>
              </w:rPr>
            </w:pPr>
            <w:r w:rsidRPr="003B2AB8">
              <w:rPr>
                <w:sz w:val="20"/>
                <w:szCs w:val="20"/>
              </w:rPr>
              <w:t>3: Editing</w:t>
            </w:r>
          </w:p>
        </w:tc>
        <w:tc>
          <w:tcPr>
            <w:tcW w:w="1207" w:type="dxa"/>
            <w:tcBorders>
              <w:bottom w:val="single" w:sz="8" w:space="0" w:color="D9D9D9"/>
            </w:tcBorders>
            <w:shd w:val="clear" w:color="000000" w:fill="FFFFFF"/>
            <w:noWrap/>
            <w:vAlign w:val="center"/>
            <w:hideMark/>
          </w:tcPr>
          <w:p w14:paraId="029A8E27" w14:textId="77777777" w:rsidR="00820C57" w:rsidRPr="003B2AB8" w:rsidRDefault="00820C57" w:rsidP="00820C57">
            <w:pPr>
              <w:jc w:val="center"/>
              <w:rPr>
                <w:sz w:val="20"/>
                <w:szCs w:val="20"/>
              </w:rPr>
            </w:pPr>
            <w:r w:rsidRPr="003B2AB8">
              <w:rPr>
                <w:sz w:val="20"/>
                <w:szCs w:val="20"/>
              </w:rPr>
              <w:t>17</w:t>
            </w:r>
          </w:p>
        </w:tc>
        <w:tc>
          <w:tcPr>
            <w:tcW w:w="0" w:type="auto"/>
            <w:tcBorders>
              <w:bottom w:val="single" w:sz="8" w:space="0" w:color="D9D9D9"/>
            </w:tcBorders>
            <w:shd w:val="clear" w:color="000000" w:fill="FFFFFF"/>
            <w:noWrap/>
            <w:vAlign w:val="center"/>
            <w:hideMark/>
          </w:tcPr>
          <w:p w14:paraId="7E4C180D" w14:textId="77777777" w:rsidR="00820C57" w:rsidRPr="003B2AB8" w:rsidRDefault="00820C57" w:rsidP="00820C57">
            <w:pPr>
              <w:jc w:val="center"/>
              <w:rPr>
                <w:sz w:val="20"/>
                <w:szCs w:val="20"/>
              </w:rPr>
            </w:pPr>
            <w:r w:rsidRPr="003B2AB8">
              <w:rPr>
                <w:sz w:val="20"/>
                <w:szCs w:val="20"/>
              </w:rPr>
              <w:t>17</w:t>
            </w:r>
          </w:p>
        </w:tc>
        <w:tc>
          <w:tcPr>
            <w:tcW w:w="0" w:type="auto"/>
            <w:tcBorders>
              <w:bottom w:val="single" w:sz="8" w:space="0" w:color="D9D9D9"/>
            </w:tcBorders>
            <w:shd w:val="clear" w:color="000000" w:fill="FFFFFF"/>
            <w:noWrap/>
            <w:vAlign w:val="center"/>
            <w:hideMark/>
          </w:tcPr>
          <w:p w14:paraId="4843992B" w14:textId="77777777" w:rsidR="00820C57" w:rsidRPr="003B2AB8" w:rsidRDefault="00820C57" w:rsidP="00820C57">
            <w:pPr>
              <w:jc w:val="center"/>
              <w:rPr>
                <w:sz w:val="20"/>
                <w:szCs w:val="20"/>
              </w:rPr>
            </w:pPr>
            <w:r w:rsidRPr="003B2AB8">
              <w:rPr>
                <w:sz w:val="20"/>
                <w:szCs w:val="20"/>
              </w:rPr>
              <w:t>92.6%</w:t>
            </w:r>
          </w:p>
        </w:tc>
        <w:tc>
          <w:tcPr>
            <w:tcW w:w="0" w:type="auto"/>
            <w:tcBorders>
              <w:bottom w:val="single" w:sz="8" w:space="0" w:color="D9D9D9"/>
            </w:tcBorders>
            <w:shd w:val="clear" w:color="000000" w:fill="FFFFFF"/>
            <w:noWrap/>
            <w:vAlign w:val="center"/>
            <w:hideMark/>
          </w:tcPr>
          <w:p w14:paraId="6457ED7F" w14:textId="77777777" w:rsidR="00820C57" w:rsidRPr="003B2AB8" w:rsidRDefault="00820C57" w:rsidP="00820C57">
            <w:pPr>
              <w:jc w:val="center"/>
              <w:rPr>
                <w:sz w:val="20"/>
                <w:szCs w:val="20"/>
              </w:rPr>
            </w:pPr>
            <w:r w:rsidRPr="003B2AB8">
              <w:rPr>
                <w:sz w:val="20"/>
                <w:szCs w:val="20"/>
              </w:rPr>
              <w:t>5.9%</w:t>
            </w:r>
          </w:p>
        </w:tc>
        <w:tc>
          <w:tcPr>
            <w:tcW w:w="0" w:type="auto"/>
            <w:tcBorders>
              <w:bottom w:val="single" w:sz="8" w:space="0" w:color="D9D9D9"/>
            </w:tcBorders>
            <w:shd w:val="clear" w:color="000000" w:fill="FFFFFF"/>
            <w:noWrap/>
            <w:vAlign w:val="center"/>
            <w:hideMark/>
          </w:tcPr>
          <w:p w14:paraId="1C3F0A0A" w14:textId="77777777" w:rsidR="00820C57" w:rsidRPr="003B2AB8" w:rsidRDefault="00820C57" w:rsidP="00820C57">
            <w:pPr>
              <w:jc w:val="center"/>
              <w:rPr>
                <w:sz w:val="20"/>
                <w:szCs w:val="20"/>
              </w:rPr>
            </w:pPr>
            <w:r w:rsidRPr="003B2AB8">
              <w:rPr>
                <w:sz w:val="20"/>
                <w:szCs w:val="20"/>
              </w:rPr>
              <w:t>1.5%</w:t>
            </w:r>
          </w:p>
        </w:tc>
      </w:tr>
      <w:tr w:rsidR="00035015" w:rsidRPr="003B2AB8" w14:paraId="42746B3D" w14:textId="77777777" w:rsidTr="00035015">
        <w:tc>
          <w:tcPr>
            <w:tcW w:w="0" w:type="auto"/>
            <w:gridSpan w:val="6"/>
            <w:shd w:val="clear" w:color="000000" w:fill="0080BA"/>
            <w:vAlign w:val="center"/>
            <w:hideMark/>
          </w:tcPr>
          <w:p w14:paraId="3A615130" w14:textId="77777777" w:rsidR="00820C57" w:rsidRPr="003B2AB8" w:rsidRDefault="00820C57" w:rsidP="00035015">
            <w:pPr>
              <w:jc w:val="center"/>
              <w:rPr>
                <w:color w:val="FFFFFF" w:themeColor="background1"/>
                <w:sz w:val="20"/>
                <w:szCs w:val="20"/>
              </w:rPr>
            </w:pPr>
            <w:r w:rsidRPr="003B2AB8">
              <w:rPr>
                <w:color w:val="FFFFFF" w:themeColor="background1"/>
                <w:sz w:val="20"/>
                <w:szCs w:val="20"/>
              </w:rPr>
              <w:t>Standard Type</w:t>
            </w:r>
          </w:p>
        </w:tc>
      </w:tr>
      <w:tr w:rsidR="00820C57" w:rsidRPr="003B2AB8" w14:paraId="3C746BAF" w14:textId="77777777" w:rsidTr="00035015">
        <w:trPr>
          <w:trHeight w:val="285"/>
        </w:trPr>
        <w:tc>
          <w:tcPr>
            <w:tcW w:w="1690" w:type="dxa"/>
            <w:shd w:val="clear" w:color="000000" w:fill="BFBFBF"/>
            <w:vAlign w:val="bottom"/>
            <w:hideMark/>
          </w:tcPr>
          <w:p w14:paraId="0742E3F9" w14:textId="77777777" w:rsidR="00820C57" w:rsidRPr="003B2AB8" w:rsidRDefault="00820C57" w:rsidP="00820C57">
            <w:pPr>
              <w:rPr>
                <w:sz w:val="20"/>
                <w:szCs w:val="20"/>
              </w:rPr>
            </w:pPr>
            <w:r w:rsidRPr="003B2AB8">
              <w:rPr>
                <w:sz w:val="20"/>
                <w:szCs w:val="20"/>
              </w:rPr>
              <w:t>Readiness Standards</w:t>
            </w:r>
          </w:p>
        </w:tc>
        <w:tc>
          <w:tcPr>
            <w:tcW w:w="1207" w:type="dxa"/>
            <w:shd w:val="clear" w:color="000000" w:fill="FFFFFF"/>
            <w:noWrap/>
            <w:vAlign w:val="center"/>
            <w:hideMark/>
          </w:tcPr>
          <w:p w14:paraId="2C306EA5" w14:textId="77777777" w:rsidR="00820C57" w:rsidRPr="003B2AB8" w:rsidRDefault="00820C57" w:rsidP="00820C57">
            <w:pPr>
              <w:jc w:val="center"/>
              <w:rPr>
                <w:sz w:val="20"/>
                <w:szCs w:val="20"/>
              </w:rPr>
            </w:pPr>
            <w:r w:rsidRPr="003B2AB8">
              <w:rPr>
                <w:sz w:val="20"/>
                <w:szCs w:val="20"/>
              </w:rPr>
              <w:t>18-21</w:t>
            </w:r>
          </w:p>
        </w:tc>
        <w:tc>
          <w:tcPr>
            <w:tcW w:w="0" w:type="auto"/>
            <w:shd w:val="clear" w:color="000000" w:fill="FFFFFF"/>
            <w:noWrap/>
            <w:vAlign w:val="center"/>
            <w:hideMark/>
          </w:tcPr>
          <w:p w14:paraId="591189B4" w14:textId="77777777" w:rsidR="00820C57" w:rsidRPr="003B2AB8" w:rsidRDefault="00820C57" w:rsidP="00820C57">
            <w:pPr>
              <w:jc w:val="center"/>
              <w:rPr>
                <w:sz w:val="20"/>
                <w:szCs w:val="20"/>
              </w:rPr>
            </w:pPr>
            <w:r w:rsidRPr="003B2AB8">
              <w:rPr>
                <w:sz w:val="20"/>
                <w:szCs w:val="20"/>
              </w:rPr>
              <w:t>20</w:t>
            </w:r>
          </w:p>
        </w:tc>
        <w:tc>
          <w:tcPr>
            <w:tcW w:w="0" w:type="auto"/>
            <w:shd w:val="clear" w:color="000000" w:fill="FFFFFF"/>
            <w:noWrap/>
            <w:vAlign w:val="center"/>
            <w:hideMark/>
          </w:tcPr>
          <w:p w14:paraId="10DCAF76" w14:textId="77777777" w:rsidR="00820C57" w:rsidRPr="003B2AB8" w:rsidRDefault="00820C57" w:rsidP="00820C57">
            <w:pPr>
              <w:jc w:val="center"/>
              <w:rPr>
                <w:sz w:val="20"/>
                <w:szCs w:val="20"/>
              </w:rPr>
            </w:pPr>
            <w:r w:rsidRPr="003B2AB8">
              <w:rPr>
                <w:sz w:val="20"/>
                <w:szCs w:val="20"/>
              </w:rPr>
              <w:t>91.3%</w:t>
            </w:r>
          </w:p>
        </w:tc>
        <w:tc>
          <w:tcPr>
            <w:tcW w:w="0" w:type="auto"/>
            <w:shd w:val="clear" w:color="000000" w:fill="FFFFFF"/>
            <w:noWrap/>
            <w:vAlign w:val="center"/>
            <w:hideMark/>
          </w:tcPr>
          <w:p w14:paraId="7D43F903" w14:textId="77777777" w:rsidR="00820C57" w:rsidRPr="003B2AB8" w:rsidRDefault="00820C57" w:rsidP="00820C57">
            <w:pPr>
              <w:jc w:val="center"/>
              <w:rPr>
                <w:sz w:val="20"/>
                <w:szCs w:val="20"/>
              </w:rPr>
            </w:pPr>
            <w:r w:rsidRPr="003B2AB8">
              <w:rPr>
                <w:sz w:val="20"/>
                <w:szCs w:val="20"/>
              </w:rPr>
              <w:t>6.3%</w:t>
            </w:r>
          </w:p>
        </w:tc>
        <w:tc>
          <w:tcPr>
            <w:tcW w:w="0" w:type="auto"/>
            <w:shd w:val="clear" w:color="000000" w:fill="FFFFFF"/>
            <w:noWrap/>
            <w:vAlign w:val="center"/>
            <w:hideMark/>
          </w:tcPr>
          <w:p w14:paraId="33B4DC4E" w14:textId="77777777" w:rsidR="00820C57" w:rsidRPr="003B2AB8" w:rsidRDefault="00820C57" w:rsidP="00820C57">
            <w:pPr>
              <w:jc w:val="center"/>
              <w:rPr>
                <w:sz w:val="20"/>
                <w:szCs w:val="20"/>
              </w:rPr>
            </w:pPr>
            <w:r w:rsidRPr="003B2AB8">
              <w:rPr>
                <w:sz w:val="20"/>
                <w:szCs w:val="20"/>
              </w:rPr>
              <w:t>2.5%</w:t>
            </w:r>
          </w:p>
        </w:tc>
      </w:tr>
      <w:tr w:rsidR="00820C57" w:rsidRPr="003B2AB8" w14:paraId="7EE330DC" w14:textId="77777777" w:rsidTr="00035015">
        <w:trPr>
          <w:trHeight w:val="285"/>
        </w:trPr>
        <w:tc>
          <w:tcPr>
            <w:tcW w:w="1690" w:type="dxa"/>
            <w:tcBorders>
              <w:bottom w:val="single" w:sz="8" w:space="0" w:color="D9D9D9"/>
            </w:tcBorders>
            <w:shd w:val="clear" w:color="000000" w:fill="BFBFBF"/>
            <w:vAlign w:val="bottom"/>
            <w:hideMark/>
          </w:tcPr>
          <w:p w14:paraId="59540020" w14:textId="77777777" w:rsidR="00820C57" w:rsidRPr="003B2AB8" w:rsidRDefault="00820C57" w:rsidP="00820C57">
            <w:pPr>
              <w:rPr>
                <w:sz w:val="20"/>
                <w:szCs w:val="20"/>
              </w:rPr>
            </w:pPr>
            <w:r w:rsidRPr="003B2AB8">
              <w:rPr>
                <w:sz w:val="20"/>
                <w:szCs w:val="20"/>
              </w:rPr>
              <w:t>Supporting Standards</w:t>
            </w:r>
          </w:p>
        </w:tc>
        <w:tc>
          <w:tcPr>
            <w:tcW w:w="1207" w:type="dxa"/>
            <w:tcBorders>
              <w:bottom w:val="single" w:sz="8" w:space="0" w:color="D9D9D9"/>
            </w:tcBorders>
            <w:shd w:val="clear" w:color="000000" w:fill="FFFFFF"/>
            <w:noWrap/>
            <w:vAlign w:val="center"/>
            <w:hideMark/>
          </w:tcPr>
          <w:p w14:paraId="0695A684" w14:textId="77777777" w:rsidR="00820C57" w:rsidRPr="003B2AB8" w:rsidRDefault="00820C57" w:rsidP="00820C57">
            <w:pPr>
              <w:jc w:val="center"/>
              <w:rPr>
                <w:sz w:val="20"/>
                <w:szCs w:val="20"/>
              </w:rPr>
            </w:pPr>
            <w:r w:rsidRPr="003B2AB8">
              <w:rPr>
                <w:sz w:val="20"/>
                <w:szCs w:val="20"/>
              </w:rPr>
              <w:t>9-12</w:t>
            </w:r>
          </w:p>
        </w:tc>
        <w:tc>
          <w:tcPr>
            <w:tcW w:w="0" w:type="auto"/>
            <w:tcBorders>
              <w:bottom w:val="single" w:sz="8" w:space="0" w:color="D9D9D9"/>
            </w:tcBorders>
            <w:shd w:val="clear" w:color="000000" w:fill="FFFFFF"/>
            <w:noWrap/>
            <w:vAlign w:val="center"/>
            <w:hideMark/>
          </w:tcPr>
          <w:p w14:paraId="3621D618" w14:textId="77777777" w:rsidR="00820C57" w:rsidRPr="003B2AB8" w:rsidRDefault="00820C57" w:rsidP="00820C57">
            <w:pPr>
              <w:jc w:val="center"/>
              <w:rPr>
                <w:sz w:val="20"/>
                <w:szCs w:val="20"/>
              </w:rPr>
            </w:pPr>
            <w:r w:rsidRPr="003B2AB8">
              <w:rPr>
                <w:sz w:val="20"/>
                <w:szCs w:val="20"/>
              </w:rPr>
              <w:t>11</w:t>
            </w:r>
          </w:p>
        </w:tc>
        <w:tc>
          <w:tcPr>
            <w:tcW w:w="0" w:type="auto"/>
            <w:tcBorders>
              <w:bottom w:val="single" w:sz="8" w:space="0" w:color="D9D9D9"/>
            </w:tcBorders>
            <w:shd w:val="clear" w:color="000000" w:fill="FFFFFF"/>
            <w:noWrap/>
            <w:vAlign w:val="center"/>
            <w:hideMark/>
          </w:tcPr>
          <w:p w14:paraId="4B1F1CC7" w14:textId="77777777" w:rsidR="00820C57" w:rsidRPr="003B2AB8" w:rsidRDefault="00820C57" w:rsidP="00820C57">
            <w:pPr>
              <w:jc w:val="center"/>
              <w:rPr>
                <w:sz w:val="20"/>
                <w:szCs w:val="20"/>
              </w:rPr>
            </w:pPr>
            <w:r w:rsidRPr="003B2AB8">
              <w:rPr>
                <w:sz w:val="20"/>
                <w:szCs w:val="20"/>
              </w:rPr>
              <w:t>84.1%</w:t>
            </w:r>
          </w:p>
        </w:tc>
        <w:tc>
          <w:tcPr>
            <w:tcW w:w="0" w:type="auto"/>
            <w:tcBorders>
              <w:bottom w:val="single" w:sz="8" w:space="0" w:color="D9D9D9"/>
            </w:tcBorders>
            <w:shd w:val="clear" w:color="000000" w:fill="FFFFFF"/>
            <w:noWrap/>
            <w:vAlign w:val="center"/>
            <w:hideMark/>
          </w:tcPr>
          <w:p w14:paraId="039FD1C4" w14:textId="77777777" w:rsidR="00820C57" w:rsidRPr="003B2AB8" w:rsidRDefault="00820C57" w:rsidP="00820C57">
            <w:pPr>
              <w:jc w:val="center"/>
              <w:rPr>
                <w:sz w:val="20"/>
                <w:szCs w:val="20"/>
              </w:rPr>
            </w:pPr>
            <w:r w:rsidRPr="003B2AB8">
              <w:rPr>
                <w:sz w:val="20"/>
                <w:szCs w:val="20"/>
              </w:rPr>
              <w:t>6.8%</w:t>
            </w:r>
          </w:p>
        </w:tc>
        <w:tc>
          <w:tcPr>
            <w:tcW w:w="0" w:type="auto"/>
            <w:tcBorders>
              <w:bottom w:val="single" w:sz="8" w:space="0" w:color="D9D9D9"/>
            </w:tcBorders>
            <w:shd w:val="clear" w:color="000000" w:fill="FFFFFF"/>
            <w:noWrap/>
            <w:vAlign w:val="center"/>
            <w:hideMark/>
          </w:tcPr>
          <w:p w14:paraId="253F0D05" w14:textId="77777777" w:rsidR="00820C57" w:rsidRPr="003B2AB8" w:rsidRDefault="00820C57" w:rsidP="00820C57">
            <w:pPr>
              <w:jc w:val="center"/>
              <w:rPr>
                <w:sz w:val="20"/>
                <w:szCs w:val="20"/>
              </w:rPr>
            </w:pPr>
            <w:r w:rsidRPr="003B2AB8">
              <w:rPr>
                <w:sz w:val="20"/>
                <w:szCs w:val="20"/>
              </w:rPr>
              <w:t>9.1%</w:t>
            </w:r>
          </w:p>
        </w:tc>
      </w:tr>
      <w:tr w:rsidR="00035015" w:rsidRPr="003B2AB8" w14:paraId="77A1EE2A" w14:textId="77777777" w:rsidTr="00035015">
        <w:tc>
          <w:tcPr>
            <w:tcW w:w="0" w:type="auto"/>
            <w:gridSpan w:val="6"/>
            <w:shd w:val="clear" w:color="000000" w:fill="0080BA"/>
            <w:vAlign w:val="center"/>
            <w:hideMark/>
          </w:tcPr>
          <w:p w14:paraId="6CD66307" w14:textId="77777777" w:rsidR="00820C57" w:rsidRPr="003B2AB8" w:rsidRDefault="00820C57" w:rsidP="00035015">
            <w:pPr>
              <w:jc w:val="center"/>
              <w:rPr>
                <w:color w:val="FFFFFF" w:themeColor="background1"/>
                <w:sz w:val="20"/>
                <w:szCs w:val="20"/>
              </w:rPr>
            </w:pPr>
            <w:r w:rsidRPr="003B2AB8">
              <w:rPr>
                <w:color w:val="FFFFFF" w:themeColor="background1"/>
                <w:sz w:val="20"/>
                <w:szCs w:val="20"/>
              </w:rPr>
              <w:t>Item Type</w:t>
            </w:r>
          </w:p>
        </w:tc>
      </w:tr>
      <w:tr w:rsidR="00820C57" w:rsidRPr="003B2AB8" w14:paraId="752D5E93" w14:textId="77777777" w:rsidTr="00035015">
        <w:trPr>
          <w:trHeight w:val="285"/>
        </w:trPr>
        <w:tc>
          <w:tcPr>
            <w:tcW w:w="1690" w:type="dxa"/>
            <w:shd w:val="clear" w:color="000000" w:fill="BFBFBF"/>
            <w:vAlign w:val="center"/>
            <w:hideMark/>
          </w:tcPr>
          <w:p w14:paraId="1A3AAD62" w14:textId="77777777" w:rsidR="00820C57" w:rsidRPr="003B2AB8" w:rsidRDefault="00820C57" w:rsidP="004946BF">
            <w:pPr>
              <w:rPr>
                <w:sz w:val="20"/>
                <w:szCs w:val="20"/>
              </w:rPr>
            </w:pPr>
            <w:r w:rsidRPr="003B2AB8">
              <w:rPr>
                <w:sz w:val="20"/>
                <w:szCs w:val="20"/>
              </w:rPr>
              <w:t>Multiple Choice</w:t>
            </w:r>
          </w:p>
        </w:tc>
        <w:tc>
          <w:tcPr>
            <w:tcW w:w="1207" w:type="dxa"/>
            <w:shd w:val="clear" w:color="000000" w:fill="FFFFFF"/>
            <w:noWrap/>
            <w:vAlign w:val="center"/>
            <w:hideMark/>
          </w:tcPr>
          <w:p w14:paraId="581A4046" w14:textId="77777777" w:rsidR="00820C57" w:rsidRPr="003B2AB8" w:rsidRDefault="00820C57" w:rsidP="00820C57">
            <w:pPr>
              <w:jc w:val="center"/>
              <w:rPr>
                <w:sz w:val="20"/>
                <w:szCs w:val="20"/>
              </w:rPr>
            </w:pPr>
            <w:r w:rsidRPr="003B2AB8">
              <w:rPr>
                <w:sz w:val="20"/>
                <w:szCs w:val="20"/>
              </w:rPr>
              <w:t>30</w:t>
            </w:r>
          </w:p>
        </w:tc>
        <w:tc>
          <w:tcPr>
            <w:tcW w:w="0" w:type="auto"/>
            <w:shd w:val="clear" w:color="000000" w:fill="FFFFFF"/>
            <w:noWrap/>
            <w:vAlign w:val="center"/>
            <w:hideMark/>
          </w:tcPr>
          <w:p w14:paraId="022095B3" w14:textId="77777777" w:rsidR="00820C57" w:rsidRPr="003B2AB8" w:rsidRDefault="00820C57" w:rsidP="00820C57">
            <w:pPr>
              <w:jc w:val="center"/>
              <w:rPr>
                <w:sz w:val="20"/>
                <w:szCs w:val="20"/>
              </w:rPr>
            </w:pPr>
            <w:r w:rsidRPr="003B2AB8">
              <w:rPr>
                <w:sz w:val="20"/>
                <w:szCs w:val="20"/>
              </w:rPr>
              <w:t>30</w:t>
            </w:r>
          </w:p>
        </w:tc>
        <w:tc>
          <w:tcPr>
            <w:tcW w:w="0" w:type="auto"/>
            <w:shd w:val="clear" w:color="000000" w:fill="FFFFFF"/>
            <w:noWrap/>
            <w:vAlign w:val="center"/>
            <w:hideMark/>
          </w:tcPr>
          <w:p w14:paraId="371BA674" w14:textId="77777777" w:rsidR="00820C57" w:rsidRPr="003B2AB8" w:rsidRDefault="00820C57" w:rsidP="00820C57">
            <w:pPr>
              <w:jc w:val="center"/>
              <w:rPr>
                <w:sz w:val="20"/>
                <w:szCs w:val="20"/>
              </w:rPr>
            </w:pPr>
            <w:r w:rsidRPr="003B2AB8">
              <w:rPr>
                <w:sz w:val="20"/>
                <w:szCs w:val="20"/>
              </w:rPr>
              <w:t>89.1%</w:t>
            </w:r>
          </w:p>
        </w:tc>
        <w:tc>
          <w:tcPr>
            <w:tcW w:w="0" w:type="auto"/>
            <w:shd w:val="clear" w:color="000000" w:fill="FFFFFF"/>
            <w:noWrap/>
            <w:vAlign w:val="center"/>
            <w:hideMark/>
          </w:tcPr>
          <w:p w14:paraId="3ACD9359" w14:textId="77777777" w:rsidR="00820C57" w:rsidRPr="003B2AB8" w:rsidRDefault="00820C57" w:rsidP="00820C57">
            <w:pPr>
              <w:jc w:val="center"/>
              <w:rPr>
                <w:sz w:val="20"/>
                <w:szCs w:val="20"/>
              </w:rPr>
            </w:pPr>
            <w:r w:rsidRPr="003B2AB8">
              <w:rPr>
                <w:sz w:val="20"/>
                <w:szCs w:val="20"/>
              </w:rPr>
              <w:t>5.9%</w:t>
            </w:r>
          </w:p>
        </w:tc>
        <w:tc>
          <w:tcPr>
            <w:tcW w:w="0" w:type="auto"/>
            <w:shd w:val="clear" w:color="000000" w:fill="FFFFFF"/>
            <w:noWrap/>
            <w:vAlign w:val="center"/>
            <w:hideMark/>
          </w:tcPr>
          <w:p w14:paraId="7B9A9AB0" w14:textId="77777777" w:rsidR="00820C57" w:rsidRPr="003B2AB8" w:rsidRDefault="00820C57" w:rsidP="00820C57">
            <w:pPr>
              <w:jc w:val="center"/>
              <w:rPr>
                <w:sz w:val="20"/>
                <w:szCs w:val="20"/>
              </w:rPr>
            </w:pPr>
            <w:r w:rsidRPr="003B2AB8">
              <w:rPr>
                <w:sz w:val="20"/>
                <w:szCs w:val="20"/>
              </w:rPr>
              <w:t>5.0%</w:t>
            </w:r>
          </w:p>
        </w:tc>
      </w:tr>
      <w:tr w:rsidR="00820C57" w:rsidRPr="003B2AB8" w14:paraId="26EF746B" w14:textId="77777777" w:rsidTr="00035015">
        <w:trPr>
          <w:trHeight w:val="285"/>
        </w:trPr>
        <w:tc>
          <w:tcPr>
            <w:tcW w:w="1690" w:type="dxa"/>
            <w:shd w:val="clear" w:color="000000" w:fill="BFBFBF"/>
            <w:vAlign w:val="center"/>
            <w:hideMark/>
          </w:tcPr>
          <w:p w14:paraId="68922B5B" w14:textId="77777777" w:rsidR="00820C57" w:rsidRPr="003B2AB8" w:rsidRDefault="00820C57" w:rsidP="004946BF">
            <w:pPr>
              <w:rPr>
                <w:sz w:val="20"/>
                <w:szCs w:val="20"/>
              </w:rPr>
            </w:pPr>
            <w:r w:rsidRPr="003B2AB8">
              <w:rPr>
                <w:sz w:val="20"/>
                <w:szCs w:val="20"/>
              </w:rPr>
              <w:t>Composition</w:t>
            </w:r>
          </w:p>
        </w:tc>
        <w:tc>
          <w:tcPr>
            <w:tcW w:w="1207" w:type="dxa"/>
            <w:shd w:val="clear" w:color="000000" w:fill="FFFFFF"/>
            <w:noWrap/>
            <w:vAlign w:val="center"/>
            <w:hideMark/>
          </w:tcPr>
          <w:p w14:paraId="4A9628EF" w14:textId="77777777" w:rsidR="00820C57" w:rsidRPr="003B2AB8" w:rsidRDefault="00820C57" w:rsidP="00820C57">
            <w:pPr>
              <w:jc w:val="center"/>
              <w:rPr>
                <w:sz w:val="20"/>
                <w:szCs w:val="20"/>
              </w:rPr>
            </w:pPr>
            <w:r w:rsidRPr="003B2AB8">
              <w:rPr>
                <w:sz w:val="20"/>
                <w:szCs w:val="20"/>
              </w:rPr>
              <w:t>1</w:t>
            </w:r>
          </w:p>
        </w:tc>
        <w:tc>
          <w:tcPr>
            <w:tcW w:w="0" w:type="auto"/>
            <w:shd w:val="clear" w:color="000000" w:fill="FFFFFF"/>
            <w:noWrap/>
            <w:vAlign w:val="center"/>
            <w:hideMark/>
          </w:tcPr>
          <w:p w14:paraId="7DAD41B8" w14:textId="77777777" w:rsidR="00820C57" w:rsidRPr="003B2AB8" w:rsidRDefault="00820C57" w:rsidP="00820C57">
            <w:pPr>
              <w:jc w:val="center"/>
              <w:rPr>
                <w:sz w:val="20"/>
                <w:szCs w:val="20"/>
              </w:rPr>
            </w:pPr>
            <w:r w:rsidRPr="003B2AB8">
              <w:rPr>
                <w:sz w:val="20"/>
                <w:szCs w:val="20"/>
              </w:rPr>
              <w:t>1</w:t>
            </w:r>
          </w:p>
        </w:tc>
        <w:tc>
          <w:tcPr>
            <w:tcW w:w="0" w:type="auto"/>
            <w:shd w:val="clear" w:color="000000" w:fill="FFFFFF"/>
            <w:noWrap/>
            <w:vAlign w:val="center"/>
            <w:hideMark/>
          </w:tcPr>
          <w:p w14:paraId="7ABF3B6F" w14:textId="77777777" w:rsidR="00820C57" w:rsidRPr="003B2AB8" w:rsidRDefault="00820C57" w:rsidP="00820C57">
            <w:pPr>
              <w:jc w:val="center"/>
              <w:rPr>
                <w:sz w:val="20"/>
                <w:szCs w:val="20"/>
              </w:rPr>
            </w:pPr>
            <w:r w:rsidRPr="003B2AB8">
              <w:rPr>
                <w:sz w:val="20"/>
                <w:szCs w:val="20"/>
              </w:rPr>
              <w:t>75.0%</w:t>
            </w:r>
          </w:p>
        </w:tc>
        <w:tc>
          <w:tcPr>
            <w:tcW w:w="0" w:type="auto"/>
            <w:shd w:val="clear" w:color="000000" w:fill="FFFFFF"/>
            <w:noWrap/>
            <w:vAlign w:val="center"/>
            <w:hideMark/>
          </w:tcPr>
          <w:p w14:paraId="1557FA74" w14:textId="77777777" w:rsidR="00820C57" w:rsidRPr="003B2AB8" w:rsidRDefault="00820C57" w:rsidP="00820C57">
            <w:pPr>
              <w:jc w:val="center"/>
              <w:rPr>
                <w:sz w:val="20"/>
                <w:szCs w:val="20"/>
              </w:rPr>
            </w:pPr>
            <w:r w:rsidRPr="003B2AB8">
              <w:rPr>
                <w:sz w:val="20"/>
                <w:szCs w:val="20"/>
              </w:rPr>
              <w:t>25.0%</w:t>
            </w:r>
          </w:p>
        </w:tc>
        <w:tc>
          <w:tcPr>
            <w:tcW w:w="0" w:type="auto"/>
            <w:shd w:val="clear" w:color="000000" w:fill="FFFFFF"/>
            <w:noWrap/>
            <w:vAlign w:val="center"/>
            <w:hideMark/>
          </w:tcPr>
          <w:p w14:paraId="6B2FE19F" w14:textId="77777777" w:rsidR="00820C57" w:rsidRPr="003B2AB8" w:rsidRDefault="00820C57" w:rsidP="00820C57">
            <w:pPr>
              <w:jc w:val="center"/>
              <w:rPr>
                <w:sz w:val="20"/>
                <w:szCs w:val="20"/>
              </w:rPr>
            </w:pPr>
            <w:r w:rsidRPr="003B2AB8">
              <w:rPr>
                <w:sz w:val="20"/>
                <w:szCs w:val="20"/>
              </w:rPr>
              <w:t>0.0%</w:t>
            </w:r>
          </w:p>
        </w:tc>
      </w:tr>
      <w:tr w:rsidR="00820C57" w:rsidRPr="003B2AB8" w14:paraId="43A86F46" w14:textId="77777777" w:rsidTr="00035015">
        <w:trPr>
          <w:trHeight w:val="300"/>
        </w:trPr>
        <w:tc>
          <w:tcPr>
            <w:tcW w:w="1690" w:type="dxa"/>
            <w:shd w:val="clear" w:color="000000" w:fill="BFBFBF"/>
            <w:vAlign w:val="center"/>
            <w:hideMark/>
          </w:tcPr>
          <w:p w14:paraId="4B51F6D3" w14:textId="77777777" w:rsidR="00820C57" w:rsidRPr="003B2AB8" w:rsidRDefault="00820C57" w:rsidP="004946BF">
            <w:pPr>
              <w:rPr>
                <w:b/>
                <w:bCs/>
                <w:sz w:val="20"/>
                <w:szCs w:val="20"/>
              </w:rPr>
            </w:pPr>
            <w:r w:rsidRPr="003B2AB8">
              <w:rPr>
                <w:b/>
                <w:bCs/>
                <w:sz w:val="20"/>
                <w:szCs w:val="20"/>
              </w:rPr>
              <w:t>Total</w:t>
            </w:r>
          </w:p>
        </w:tc>
        <w:tc>
          <w:tcPr>
            <w:tcW w:w="1207" w:type="dxa"/>
            <w:shd w:val="clear" w:color="000000" w:fill="FFFFFF"/>
            <w:noWrap/>
            <w:vAlign w:val="center"/>
            <w:hideMark/>
          </w:tcPr>
          <w:p w14:paraId="2276E135" w14:textId="77777777" w:rsidR="00820C57" w:rsidRPr="003B2AB8" w:rsidRDefault="00820C57" w:rsidP="00820C57">
            <w:pPr>
              <w:jc w:val="center"/>
              <w:rPr>
                <w:b/>
                <w:bCs/>
                <w:sz w:val="20"/>
                <w:szCs w:val="20"/>
              </w:rPr>
            </w:pPr>
            <w:r w:rsidRPr="003B2AB8">
              <w:rPr>
                <w:b/>
                <w:bCs/>
                <w:sz w:val="20"/>
                <w:szCs w:val="20"/>
              </w:rPr>
              <w:t>31</w:t>
            </w:r>
          </w:p>
        </w:tc>
        <w:tc>
          <w:tcPr>
            <w:tcW w:w="0" w:type="auto"/>
            <w:shd w:val="clear" w:color="000000" w:fill="FFFFFF"/>
            <w:noWrap/>
            <w:vAlign w:val="center"/>
            <w:hideMark/>
          </w:tcPr>
          <w:p w14:paraId="45AA7EF4" w14:textId="77777777" w:rsidR="00820C57" w:rsidRPr="003B2AB8" w:rsidRDefault="00820C57" w:rsidP="00820C57">
            <w:pPr>
              <w:jc w:val="center"/>
              <w:rPr>
                <w:b/>
                <w:bCs/>
                <w:sz w:val="20"/>
                <w:szCs w:val="20"/>
              </w:rPr>
            </w:pPr>
            <w:r w:rsidRPr="003B2AB8">
              <w:rPr>
                <w:b/>
                <w:bCs/>
                <w:sz w:val="20"/>
                <w:szCs w:val="20"/>
              </w:rPr>
              <w:t>31</w:t>
            </w:r>
          </w:p>
        </w:tc>
        <w:tc>
          <w:tcPr>
            <w:tcW w:w="0" w:type="auto"/>
            <w:shd w:val="clear" w:color="000000" w:fill="FFFFFF"/>
            <w:noWrap/>
            <w:vAlign w:val="center"/>
            <w:hideMark/>
          </w:tcPr>
          <w:p w14:paraId="38D5222B" w14:textId="77777777" w:rsidR="00820C57" w:rsidRPr="003B2AB8" w:rsidRDefault="00820C57" w:rsidP="00820C57">
            <w:pPr>
              <w:jc w:val="center"/>
              <w:rPr>
                <w:b/>
                <w:bCs/>
                <w:sz w:val="20"/>
                <w:szCs w:val="20"/>
              </w:rPr>
            </w:pPr>
            <w:r w:rsidRPr="003B2AB8">
              <w:rPr>
                <w:b/>
                <w:bCs/>
                <w:sz w:val="20"/>
                <w:szCs w:val="20"/>
              </w:rPr>
              <w:t>88.7%</w:t>
            </w:r>
          </w:p>
        </w:tc>
        <w:tc>
          <w:tcPr>
            <w:tcW w:w="0" w:type="auto"/>
            <w:shd w:val="clear" w:color="000000" w:fill="FFFFFF"/>
            <w:noWrap/>
            <w:vAlign w:val="center"/>
            <w:hideMark/>
          </w:tcPr>
          <w:p w14:paraId="638CA90E" w14:textId="77777777" w:rsidR="00820C57" w:rsidRPr="003B2AB8" w:rsidRDefault="00820C57" w:rsidP="00820C57">
            <w:pPr>
              <w:jc w:val="center"/>
              <w:rPr>
                <w:b/>
                <w:bCs/>
                <w:sz w:val="20"/>
                <w:szCs w:val="20"/>
              </w:rPr>
            </w:pPr>
            <w:r w:rsidRPr="003B2AB8">
              <w:rPr>
                <w:b/>
                <w:bCs/>
                <w:sz w:val="20"/>
                <w:szCs w:val="20"/>
              </w:rPr>
              <w:t>6.5%</w:t>
            </w:r>
          </w:p>
        </w:tc>
        <w:tc>
          <w:tcPr>
            <w:tcW w:w="0" w:type="auto"/>
            <w:shd w:val="clear" w:color="000000" w:fill="FFFFFF"/>
            <w:noWrap/>
            <w:vAlign w:val="center"/>
            <w:hideMark/>
          </w:tcPr>
          <w:p w14:paraId="263E6B55" w14:textId="77777777" w:rsidR="00820C57" w:rsidRPr="003B2AB8" w:rsidRDefault="00820C57" w:rsidP="00820C57">
            <w:pPr>
              <w:jc w:val="center"/>
              <w:rPr>
                <w:b/>
                <w:bCs/>
                <w:sz w:val="20"/>
                <w:szCs w:val="20"/>
              </w:rPr>
            </w:pPr>
            <w:r w:rsidRPr="003B2AB8">
              <w:rPr>
                <w:b/>
                <w:bCs/>
                <w:sz w:val="20"/>
                <w:szCs w:val="20"/>
              </w:rPr>
              <w:t>4.8%</w:t>
            </w:r>
          </w:p>
        </w:tc>
      </w:tr>
    </w:tbl>
    <w:p w14:paraId="2FC1B0A4" w14:textId="77777777" w:rsidR="00820C57" w:rsidRPr="003B2AB8" w:rsidRDefault="00820C57" w:rsidP="00820C57"/>
    <w:p w14:paraId="4F7456C1" w14:textId="77777777" w:rsidR="00820C57" w:rsidRPr="003B2AB8" w:rsidRDefault="00820C57" w:rsidP="00DF2682">
      <w:pPr>
        <w:pStyle w:val="HLevel2"/>
        <w:rPr>
          <w:noProof w:val="0"/>
        </w:rPr>
      </w:pPr>
      <w:bookmarkStart w:id="22" w:name="_Toc446343619"/>
      <w:r w:rsidRPr="003B2AB8">
        <w:rPr>
          <w:noProof w:val="0"/>
        </w:rPr>
        <w:t>Content Review Summary and Discussion</w:t>
      </w:r>
      <w:bookmarkEnd w:id="22"/>
    </w:p>
    <w:p w14:paraId="3D31182F" w14:textId="4DD83D24" w:rsidR="00820C57" w:rsidRPr="003B2AB8" w:rsidRDefault="00820C57" w:rsidP="00820C57">
      <w:pPr>
        <w:pStyle w:val="HBodyText"/>
      </w:pPr>
      <w:r w:rsidRPr="003B2AB8">
        <w:t xml:space="preserve">HumRRO’s content review provided evidence to support the content validity of the </w:t>
      </w:r>
      <w:r w:rsidR="00EC63C7" w:rsidRPr="003B2AB8">
        <w:t xml:space="preserve">2016 </w:t>
      </w:r>
      <w:r w:rsidRPr="003B2AB8">
        <w:t xml:space="preserve">STAAR </w:t>
      </w:r>
      <w:r w:rsidR="00EC63C7" w:rsidRPr="003B2AB8">
        <w:t xml:space="preserve">test forms for </w:t>
      </w:r>
      <w:r w:rsidR="008318E9" w:rsidRPr="003B2AB8">
        <w:t xml:space="preserve">mathematics </w:t>
      </w:r>
      <w:r w:rsidRPr="003B2AB8">
        <w:t xml:space="preserve">and </w:t>
      </w:r>
      <w:r w:rsidR="008318E9" w:rsidRPr="003B2AB8">
        <w:t>r</w:t>
      </w:r>
      <w:r w:rsidRPr="003B2AB8">
        <w:t xml:space="preserve">eading grades 5 and 8, and </w:t>
      </w:r>
      <w:r w:rsidR="008318E9" w:rsidRPr="003B2AB8">
        <w:t xml:space="preserve">writing </w:t>
      </w:r>
      <w:r w:rsidRPr="003B2AB8">
        <w:t xml:space="preserve">grades 4 and 7. </w:t>
      </w:r>
      <w:r w:rsidR="00AD5432" w:rsidRPr="003B2AB8">
        <w:t>Overall, t</w:t>
      </w:r>
      <w:r w:rsidRPr="003B2AB8">
        <w:t>he test forms were found to be consistent with the blueprints and TEKS documentation.</w:t>
      </w:r>
    </w:p>
    <w:p w14:paraId="1F799666" w14:textId="77777777" w:rsidR="00C03930" w:rsidRPr="003B2AB8" w:rsidRDefault="00C03930" w:rsidP="00820C57">
      <w:pPr>
        <w:pStyle w:val="HBodyText"/>
      </w:pPr>
    </w:p>
    <w:p w14:paraId="2412DA88" w14:textId="350DFAFD" w:rsidR="00820C57" w:rsidRPr="003B2AB8" w:rsidRDefault="00820C57" w:rsidP="00820C57">
      <w:pPr>
        <w:pStyle w:val="HBodyText"/>
      </w:pPr>
      <w:r w:rsidRPr="003B2AB8">
        <w:t xml:space="preserve">The numbers of items included on the assessment forms were consistent with the blueprint for all grades and content areas reviewed. </w:t>
      </w:r>
      <w:r w:rsidR="00E2363C" w:rsidRPr="003B2AB8">
        <w:t>Additionally</w:t>
      </w:r>
      <w:r w:rsidRPr="003B2AB8">
        <w:t xml:space="preserve">, </w:t>
      </w:r>
      <w:r w:rsidR="00E45D61" w:rsidRPr="003B2AB8">
        <w:t>the results provide evidence</w:t>
      </w:r>
      <w:r w:rsidRPr="003B2AB8">
        <w:t xml:space="preserve"> that the</w:t>
      </w:r>
      <w:r w:rsidR="00EC63C7" w:rsidRPr="003B2AB8">
        <w:t xml:space="preserve"> 2016 </w:t>
      </w:r>
      <w:r w:rsidRPr="003B2AB8">
        <w:t xml:space="preserve">STAAR </w:t>
      </w:r>
      <w:r w:rsidR="00EC63C7" w:rsidRPr="003B2AB8">
        <w:t>tes</w:t>
      </w:r>
      <w:r w:rsidRPr="003B2AB8">
        <w:t xml:space="preserve">t forms </w:t>
      </w:r>
      <w:r w:rsidR="00AD5432" w:rsidRPr="003B2AB8">
        <w:t xml:space="preserve">are </w:t>
      </w:r>
      <w:r w:rsidRPr="003B2AB8">
        <w:t xml:space="preserve">well-aligned to the intended TEKS expectations. This was true at the total assessment form level and when examining results by reporting category, standards type, and item-type. </w:t>
      </w:r>
      <w:r w:rsidR="00A25851" w:rsidRPr="003B2AB8">
        <w:t>Math</w:t>
      </w:r>
      <w:r w:rsidR="008318E9" w:rsidRPr="003B2AB8">
        <w:t>ematics</w:t>
      </w:r>
      <w:r w:rsidRPr="003B2AB8">
        <w:t xml:space="preserve"> had a particularly high average percentage of items rated as fully </w:t>
      </w:r>
      <w:r w:rsidR="00AD5432" w:rsidRPr="003B2AB8">
        <w:t>aligned</w:t>
      </w:r>
      <w:r w:rsidR="002F6F8E" w:rsidRPr="003B2AB8">
        <w:t>.</w:t>
      </w:r>
      <w:r w:rsidRPr="003B2AB8">
        <w:t xml:space="preserve"> Grade 7 </w:t>
      </w:r>
      <w:r w:rsidR="008318E9" w:rsidRPr="003B2AB8">
        <w:t xml:space="preserve">writing </w:t>
      </w:r>
      <w:r w:rsidRPr="003B2AB8">
        <w:t xml:space="preserve">included the highest percentage of items rated as not aligned; however, this represented fewer than five percent of the overall items, and the majority of items rated ‘not aligned’ to the intended TEKS expectation were </w:t>
      </w:r>
      <w:r w:rsidR="00EC63C7" w:rsidRPr="003B2AB8">
        <w:t>rated as aligning</w:t>
      </w:r>
      <w:r w:rsidRPr="003B2AB8">
        <w:t xml:space="preserve"> to a different TEKS </w:t>
      </w:r>
      <w:r w:rsidR="008318E9" w:rsidRPr="003B2AB8">
        <w:t xml:space="preserve">student </w:t>
      </w:r>
      <w:r w:rsidRPr="003B2AB8">
        <w:t>expectation within</w:t>
      </w:r>
      <w:r w:rsidR="006D2FCD" w:rsidRPr="003B2AB8">
        <w:t xml:space="preserve"> the same reporting category. </w:t>
      </w:r>
    </w:p>
    <w:p w14:paraId="02565EB7" w14:textId="77777777" w:rsidR="00820C57" w:rsidRPr="003B2AB8" w:rsidRDefault="00820C57" w:rsidP="00820C57">
      <w:pPr>
        <w:pStyle w:val="HBodyText"/>
      </w:pPr>
    </w:p>
    <w:p w14:paraId="467C34A6" w14:textId="77777777" w:rsidR="00AB2594" w:rsidRPr="003B2AB8" w:rsidRDefault="00273960" w:rsidP="00113149">
      <w:pPr>
        <w:pStyle w:val="HLevel1"/>
      </w:pPr>
      <w:bookmarkStart w:id="23" w:name="_Toc446343620"/>
      <w:r w:rsidRPr="003B2AB8">
        <w:t>Task 2: Replication and Estimation of Reliability and Measurement Error</w:t>
      </w:r>
      <w:bookmarkEnd w:id="23"/>
    </w:p>
    <w:p w14:paraId="25FC978E" w14:textId="77777777" w:rsidR="007707C8" w:rsidRPr="003B2AB8" w:rsidRDefault="007707C8" w:rsidP="00DF2682">
      <w:pPr>
        <w:pStyle w:val="HLevel2"/>
        <w:rPr>
          <w:noProof w:val="0"/>
        </w:rPr>
      </w:pPr>
      <w:bookmarkStart w:id="24" w:name="_Toc446343621"/>
      <w:r w:rsidRPr="003B2AB8">
        <w:rPr>
          <w:noProof w:val="0"/>
        </w:rPr>
        <w:t>Estimation of Re</w:t>
      </w:r>
      <w:r w:rsidR="00FD3F81" w:rsidRPr="003B2AB8">
        <w:rPr>
          <w:noProof w:val="0"/>
        </w:rPr>
        <w:t>liability and Measurement Error</w:t>
      </w:r>
      <w:bookmarkEnd w:id="24"/>
    </w:p>
    <w:p w14:paraId="664EE57F" w14:textId="0549FA6E" w:rsidR="007623FB" w:rsidRPr="003B2AB8" w:rsidRDefault="008318E9" w:rsidP="007623FB">
      <w:pPr>
        <w:pStyle w:val="HBodyText"/>
      </w:pPr>
      <w:r w:rsidRPr="003B2AB8">
        <w:t>I</w:t>
      </w:r>
      <w:r w:rsidR="007623FB" w:rsidRPr="003B2AB8">
        <w:t xml:space="preserve">nternal consistency reliability and standard error of measurement (SEM) estimates cannot be computed for a test until student response data </w:t>
      </w:r>
      <w:r w:rsidRPr="003B2AB8">
        <w:t xml:space="preserve">are </w:t>
      </w:r>
      <w:r w:rsidR="007623FB" w:rsidRPr="003B2AB8">
        <w:t>available</w:t>
      </w:r>
      <w:r w:rsidR="00905CDC" w:rsidRPr="003B2AB8">
        <w:t>.</w:t>
      </w:r>
      <w:r w:rsidR="007623FB" w:rsidRPr="003B2AB8">
        <w:t xml:space="preserve"> However, we can make projections about the reliability and SEM using the</w:t>
      </w:r>
      <w:r w:rsidR="00B96ED7" w:rsidRPr="003B2AB8">
        <w:t xml:space="preserve">: </w:t>
      </w:r>
      <w:r w:rsidR="00B90430" w:rsidRPr="003B2AB8">
        <w:t xml:space="preserve">(a) </w:t>
      </w:r>
      <w:r w:rsidR="007F68E1">
        <w:t>IRT</w:t>
      </w:r>
      <w:r w:rsidR="007623FB" w:rsidRPr="003B2AB8">
        <w:t xml:space="preserve"> parameter estimates that were used to construct test forms and</w:t>
      </w:r>
      <w:r w:rsidR="00B90430" w:rsidRPr="003B2AB8">
        <w:t xml:space="preserve"> (b)</w:t>
      </w:r>
      <w:r w:rsidR="007623FB" w:rsidRPr="003B2AB8">
        <w:t xml:space="preserve"> projection</w:t>
      </w:r>
      <w:r w:rsidR="00EC63C7" w:rsidRPr="003B2AB8">
        <w:t>s</w:t>
      </w:r>
      <w:r w:rsidR="007623FB" w:rsidRPr="003B2AB8">
        <w:t xml:space="preserve"> of the distribution of student scores. We used the Kolen, Z</w:t>
      </w:r>
      <w:r w:rsidR="007E5654" w:rsidRPr="003B2AB8">
        <w:t>a</w:t>
      </w:r>
      <w:r w:rsidR="007623FB" w:rsidRPr="003B2AB8">
        <w:t>ng, and Hanson (199</w:t>
      </w:r>
      <w:r w:rsidR="000A02E9" w:rsidRPr="003B2AB8">
        <w:t>6</w:t>
      </w:r>
      <w:r w:rsidR="00EC63C7" w:rsidRPr="003B2AB8">
        <w:t>; KZH</w:t>
      </w:r>
      <w:r w:rsidR="007623FB" w:rsidRPr="003B2AB8">
        <w:t xml:space="preserve">) procedures to compute internal consistency reliability </w:t>
      </w:r>
      <w:r w:rsidR="00B90430" w:rsidRPr="003B2AB8">
        <w:t>estimates as well as overall and conditional</w:t>
      </w:r>
      <w:r w:rsidR="007623FB" w:rsidRPr="003B2AB8">
        <w:t xml:space="preserve"> SEM</w:t>
      </w:r>
      <w:r w:rsidR="00B90430" w:rsidRPr="003B2AB8">
        <w:t>s</w:t>
      </w:r>
      <w:r w:rsidR="00B96ED7" w:rsidRPr="003B2AB8">
        <w:t>.</w:t>
      </w:r>
    </w:p>
    <w:p w14:paraId="7BC71AD7" w14:textId="77777777" w:rsidR="00CC3249" w:rsidRPr="003B2AB8" w:rsidRDefault="00CC3249" w:rsidP="007623FB">
      <w:pPr>
        <w:pStyle w:val="HBodyText"/>
      </w:pPr>
    </w:p>
    <w:p w14:paraId="205DA4EA" w14:textId="78B89DD5" w:rsidR="00CC3249" w:rsidRPr="003B2AB8" w:rsidRDefault="00CC3249" w:rsidP="007623FB">
      <w:pPr>
        <w:pStyle w:val="HBodyText"/>
      </w:pPr>
      <w:r w:rsidRPr="003B2AB8">
        <w:t xml:space="preserve">For </w:t>
      </w:r>
      <w:r w:rsidR="008318E9" w:rsidRPr="003B2AB8">
        <w:t xml:space="preserve">reading </w:t>
      </w:r>
      <w:r w:rsidRPr="003B2AB8">
        <w:t xml:space="preserve">and </w:t>
      </w:r>
      <w:r w:rsidR="008318E9" w:rsidRPr="003B2AB8">
        <w:t>mathematics</w:t>
      </w:r>
      <w:r w:rsidRPr="003B2AB8">
        <w:t xml:space="preserve">, the number of items on </w:t>
      </w:r>
      <w:r w:rsidR="008318E9" w:rsidRPr="003B2AB8">
        <w:t>each assessment</w:t>
      </w:r>
      <w:r w:rsidRPr="003B2AB8">
        <w:t xml:space="preserve"> </w:t>
      </w:r>
      <w:r w:rsidR="000D6A0D" w:rsidRPr="003B2AB8">
        <w:t>was</w:t>
      </w:r>
      <w:r w:rsidRPr="003B2AB8">
        <w:t xml:space="preserve"> consistent for 2015 and 2016. We used the 2015 student cumulative frequency distribution (CFD)</w:t>
      </w:r>
      <w:r w:rsidR="003C5BAD" w:rsidRPr="003B2AB8">
        <w:t xml:space="preserve"> for STAAR scores</w:t>
      </w:r>
      <w:r w:rsidRPr="003B2AB8">
        <w:t xml:space="preserve"> as the projected 2016 distribution. For </w:t>
      </w:r>
      <w:r w:rsidR="008318E9" w:rsidRPr="003B2AB8">
        <w:t>writing</w:t>
      </w:r>
      <w:r w:rsidRPr="003B2AB8">
        <w:t xml:space="preserve">, where the test form </w:t>
      </w:r>
      <w:r w:rsidR="00905CDC" w:rsidRPr="003B2AB8">
        <w:t>was shorter for 2016</w:t>
      </w:r>
      <w:r w:rsidRPr="003B2AB8">
        <w:t>, we interpolated the 2015</w:t>
      </w:r>
      <w:r w:rsidR="003C5BAD" w:rsidRPr="003B2AB8">
        <w:t xml:space="preserve"> STAAR score</w:t>
      </w:r>
      <w:r w:rsidRPr="003B2AB8">
        <w:t xml:space="preserve"> CFD onto the shorter 2016 scale to find the projected 2016 </w:t>
      </w:r>
      <w:r w:rsidR="00E45D61" w:rsidRPr="003B2AB8">
        <w:t xml:space="preserve">raw score </w:t>
      </w:r>
      <w:r w:rsidRPr="003B2AB8">
        <w:t xml:space="preserve">mean and standard deviation. </w:t>
      </w:r>
      <w:r w:rsidR="000D6A0D" w:rsidRPr="003B2AB8">
        <w:t>W</w:t>
      </w:r>
      <w:r w:rsidRPr="003B2AB8">
        <w:t xml:space="preserve">e smoothed the </w:t>
      </w:r>
      <w:r w:rsidR="00E45D61" w:rsidRPr="003B2AB8">
        <w:t>CFD</w:t>
      </w:r>
      <w:r w:rsidRPr="003B2AB8">
        <w:t xml:space="preserve"> by </w:t>
      </w:r>
      <w:r w:rsidR="000D6A0D" w:rsidRPr="003B2AB8">
        <w:t>computing a normal distribution with the projected mean and standard deviation.</w:t>
      </w:r>
    </w:p>
    <w:p w14:paraId="438C73C2" w14:textId="77777777" w:rsidR="00905CDC" w:rsidRPr="003B2AB8" w:rsidRDefault="00905CDC" w:rsidP="007623FB">
      <w:pPr>
        <w:pStyle w:val="HBodyText"/>
      </w:pPr>
    </w:p>
    <w:p w14:paraId="38FC226F" w14:textId="33E4E713" w:rsidR="00905CDC" w:rsidRPr="003B2AB8" w:rsidRDefault="00905CDC" w:rsidP="007623FB">
      <w:pPr>
        <w:pStyle w:val="HBodyText"/>
      </w:pPr>
      <w:r w:rsidRPr="003B2AB8">
        <w:t xml:space="preserve">The projected </w:t>
      </w:r>
      <w:r w:rsidR="00990186" w:rsidRPr="003B2AB8">
        <w:t xml:space="preserve">internal consistency </w:t>
      </w:r>
      <w:r w:rsidRPr="003B2AB8">
        <w:t xml:space="preserve">reliability and </w:t>
      </w:r>
      <w:r w:rsidR="00744662" w:rsidRPr="003B2AB8">
        <w:t xml:space="preserve">overall </w:t>
      </w:r>
      <w:r w:rsidRPr="003B2AB8">
        <w:t xml:space="preserve">SEM estimates for </w:t>
      </w:r>
      <w:r w:rsidR="008318E9" w:rsidRPr="003B2AB8">
        <w:t xml:space="preserve">reading </w:t>
      </w:r>
      <w:r w:rsidRPr="003B2AB8">
        <w:t xml:space="preserve">and </w:t>
      </w:r>
      <w:r w:rsidR="008318E9" w:rsidRPr="003B2AB8">
        <w:t xml:space="preserve">mathematics </w:t>
      </w:r>
      <w:r w:rsidRPr="003B2AB8">
        <w:t xml:space="preserve">grades 5 and 8 and </w:t>
      </w:r>
      <w:r w:rsidR="008318E9" w:rsidRPr="003B2AB8">
        <w:t xml:space="preserve">writing </w:t>
      </w:r>
      <w:r w:rsidRPr="003B2AB8">
        <w:t xml:space="preserve">grades 4 and 7 are presented in </w:t>
      </w:r>
      <w:r w:rsidR="00E85F01" w:rsidRPr="003B2AB8">
        <w:t>T</w:t>
      </w:r>
      <w:r w:rsidRPr="003B2AB8">
        <w:t xml:space="preserve">able 7. </w:t>
      </w:r>
      <w:r w:rsidR="00E85F01" w:rsidRPr="003B2AB8">
        <w:t xml:space="preserve">Internal consistency reliability estimates are measures of the relationship among items </w:t>
      </w:r>
      <w:r w:rsidR="008318E9" w:rsidRPr="003B2AB8">
        <w:t xml:space="preserve">that </w:t>
      </w:r>
      <w:r w:rsidR="00E85F01" w:rsidRPr="003B2AB8">
        <w:t>are purported to measure a common construct</w:t>
      </w:r>
      <w:r w:rsidR="00381773" w:rsidRPr="003B2AB8">
        <w:t xml:space="preserve">. </w:t>
      </w:r>
      <w:r w:rsidRPr="003B2AB8">
        <w:t>Overall</w:t>
      </w:r>
      <w:r w:rsidR="00B90430" w:rsidRPr="003B2AB8">
        <w:t>,</w:t>
      </w:r>
      <w:r w:rsidRPr="003B2AB8">
        <w:t xml:space="preserve"> the reliability estimates are </w:t>
      </w:r>
      <w:r w:rsidR="004B597F" w:rsidRPr="003B2AB8">
        <w:t>acceptable</w:t>
      </w:r>
      <w:r w:rsidR="00BF214D" w:rsidRPr="003B2AB8">
        <w:t xml:space="preserve"> to excellent</w:t>
      </w:r>
      <w:r w:rsidR="004B597F" w:rsidRPr="003B2AB8">
        <w:t>. Inte</w:t>
      </w:r>
      <w:r w:rsidR="00EC63C7" w:rsidRPr="003B2AB8">
        <w:t>rnal consistency estimates above</w:t>
      </w:r>
      <w:r w:rsidR="004B597F" w:rsidRPr="003B2AB8">
        <w:t xml:space="preserve"> 0.7</w:t>
      </w:r>
      <w:r w:rsidR="00B96ED7" w:rsidRPr="003B2AB8">
        <w:t>0</w:t>
      </w:r>
      <w:r w:rsidR="004B597F" w:rsidRPr="003B2AB8">
        <w:t xml:space="preserve"> are </w:t>
      </w:r>
      <w:r w:rsidR="000D6A0D" w:rsidRPr="003B2AB8">
        <w:t xml:space="preserve">typically </w:t>
      </w:r>
      <w:r w:rsidR="004B597F" w:rsidRPr="003B2AB8">
        <w:t xml:space="preserve">considered </w:t>
      </w:r>
      <w:r w:rsidR="00D84EA2" w:rsidRPr="003B2AB8">
        <w:t>acceptable</w:t>
      </w:r>
      <w:r w:rsidR="004B597F" w:rsidRPr="003B2AB8">
        <w:t>, with estimates of 0.9</w:t>
      </w:r>
      <w:r w:rsidR="00B96ED7" w:rsidRPr="003B2AB8">
        <w:t>0</w:t>
      </w:r>
      <w:r w:rsidR="004B597F" w:rsidRPr="003B2AB8">
        <w:t xml:space="preserve"> and higher considered excellent (</w:t>
      </w:r>
      <w:r w:rsidR="00990186" w:rsidRPr="003B2AB8">
        <w:t>Nunnally, 1978</w:t>
      </w:r>
      <w:r w:rsidR="004B597F" w:rsidRPr="003B2AB8">
        <w:t>).</w:t>
      </w:r>
      <w:r w:rsidR="004B597F" w:rsidRPr="003B2AB8">
        <w:rPr>
          <w:i/>
        </w:rPr>
        <w:t xml:space="preserve"> </w:t>
      </w:r>
      <w:r w:rsidR="00D84EA2" w:rsidRPr="003B2AB8">
        <w:t>The projected SEM provides an</w:t>
      </w:r>
      <w:r w:rsidR="000D6A0D" w:rsidRPr="003B2AB8">
        <w:t xml:space="preserve"> estimat</w:t>
      </w:r>
      <w:r w:rsidR="00B90430" w:rsidRPr="003B2AB8">
        <w:t>e</w:t>
      </w:r>
      <w:r w:rsidR="000D6A0D" w:rsidRPr="003B2AB8">
        <w:t xml:space="preserve"> of how</w:t>
      </w:r>
      <w:r w:rsidR="00D84EA2" w:rsidRPr="003B2AB8">
        <w:t xml:space="preserve"> close </w:t>
      </w:r>
      <w:r w:rsidR="000D6A0D" w:rsidRPr="003B2AB8">
        <w:t>students’</w:t>
      </w:r>
      <w:r w:rsidR="00D84EA2" w:rsidRPr="003B2AB8">
        <w:t xml:space="preserve"> observed score</w:t>
      </w:r>
      <w:r w:rsidR="000D6A0D" w:rsidRPr="003B2AB8">
        <w:t>s</w:t>
      </w:r>
      <w:r w:rsidR="00501D5C" w:rsidRPr="003B2AB8">
        <w:t xml:space="preserve"> </w:t>
      </w:r>
      <w:r w:rsidR="000D6A0D" w:rsidRPr="003B2AB8">
        <w:t>are</w:t>
      </w:r>
      <w:r w:rsidR="00501D5C" w:rsidRPr="003B2AB8">
        <w:t xml:space="preserve"> to</w:t>
      </w:r>
      <w:r w:rsidR="00D84EA2" w:rsidRPr="003B2AB8">
        <w:t xml:space="preserve"> their true score</w:t>
      </w:r>
      <w:r w:rsidR="000D6A0D" w:rsidRPr="003B2AB8">
        <w:t>s</w:t>
      </w:r>
      <w:r w:rsidR="00D84EA2" w:rsidRPr="003B2AB8">
        <w:t>. For example, on average, fo</w:t>
      </w:r>
      <w:r w:rsidR="000D6A0D" w:rsidRPr="003B2AB8">
        <w:t xml:space="preserve">r </w:t>
      </w:r>
      <w:r w:rsidR="00BF214D" w:rsidRPr="003B2AB8">
        <w:t xml:space="preserve">reading </w:t>
      </w:r>
      <w:r w:rsidR="00D84EA2" w:rsidRPr="003B2AB8">
        <w:t>grade 5, students</w:t>
      </w:r>
      <w:r w:rsidR="00BF214D" w:rsidRPr="003B2AB8">
        <w:t>’</w:t>
      </w:r>
      <w:r w:rsidR="00D84EA2" w:rsidRPr="003B2AB8">
        <w:t xml:space="preserve"> observed </w:t>
      </w:r>
      <w:r w:rsidR="00996E00" w:rsidRPr="003B2AB8">
        <w:t xml:space="preserve">STAAR </w:t>
      </w:r>
      <w:r w:rsidR="00D84EA2" w:rsidRPr="003B2AB8">
        <w:t xml:space="preserve">scores </w:t>
      </w:r>
      <w:r w:rsidR="00996E00" w:rsidRPr="003B2AB8">
        <w:t>are projected to be</w:t>
      </w:r>
      <w:r w:rsidR="00D84EA2" w:rsidRPr="003B2AB8">
        <w:t xml:space="preserve"> plus or minus 2.75 </w:t>
      </w:r>
      <w:r w:rsidR="000D6A0D" w:rsidRPr="003B2AB8">
        <w:t>raw score points from</w:t>
      </w:r>
      <w:r w:rsidR="00D84EA2" w:rsidRPr="003B2AB8">
        <w:t xml:space="preserve"> their true score. </w:t>
      </w:r>
      <w:r w:rsidR="00744662" w:rsidRPr="003B2AB8">
        <w:t>Appendix A provides figures of the CSEM</w:t>
      </w:r>
      <w:r w:rsidR="0081598C" w:rsidRPr="003B2AB8">
        <w:t>s</w:t>
      </w:r>
      <w:r w:rsidR="00744662" w:rsidRPr="003B2AB8">
        <w:t xml:space="preserve"> across the raw</w:t>
      </w:r>
      <w:r w:rsidR="00996E00" w:rsidRPr="003B2AB8">
        <w:t xml:space="preserve"> STAAR</w:t>
      </w:r>
      <w:r w:rsidR="00744662" w:rsidRPr="003B2AB8">
        <w:t xml:space="preserve"> score distribution. CSEM plots tend to be U-shaped, with lower SEM</w:t>
      </w:r>
      <w:r w:rsidR="00BF214D" w:rsidRPr="003B2AB8">
        <w:t>s</w:t>
      </w:r>
      <w:r w:rsidR="00744662" w:rsidRPr="003B2AB8">
        <w:t xml:space="preserve"> in the center of the distribution and higher SEM</w:t>
      </w:r>
      <w:r w:rsidR="00BF214D" w:rsidRPr="003B2AB8">
        <w:t>s</w:t>
      </w:r>
      <w:r w:rsidR="00744662" w:rsidRPr="003B2AB8">
        <w:t xml:space="preserve"> at the lower and upper end</w:t>
      </w:r>
      <w:r w:rsidR="00BF214D" w:rsidRPr="003B2AB8">
        <w:t>s</w:t>
      </w:r>
      <w:r w:rsidR="00744662" w:rsidRPr="003B2AB8">
        <w:t xml:space="preserve"> of the distribution. These results are reasonable</w:t>
      </w:r>
      <w:r w:rsidR="00042A36" w:rsidRPr="003B2AB8">
        <w:t xml:space="preserve"> and typical of most testing programs. </w:t>
      </w:r>
    </w:p>
    <w:p w14:paraId="3BC1DFE8" w14:textId="77777777" w:rsidR="00990186" w:rsidRPr="003B2AB8" w:rsidRDefault="00990186" w:rsidP="007623FB">
      <w:pPr>
        <w:pStyle w:val="HBodyText"/>
      </w:pPr>
    </w:p>
    <w:p w14:paraId="17B78A1F" w14:textId="14A0CF18" w:rsidR="00B82F70" w:rsidRPr="003B2AB8" w:rsidRDefault="00990186" w:rsidP="007623FB">
      <w:pPr>
        <w:pStyle w:val="HBodyText"/>
      </w:pPr>
      <w:r w:rsidRPr="003B2AB8">
        <w:t xml:space="preserve">There are a number of </w:t>
      </w:r>
      <w:r w:rsidR="00B82F70" w:rsidRPr="003B2AB8">
        <w:t>factors</w:t>
      </w:r>
      <w:r w:rsidRPr="003B2AB8">
        <w:t xml:space="preserve"> that contribute to reliability estimates</w:t>
      </w:r>
      <w:r w:rsidR="00B82F70" w:rsidRPr="003B2AB8">
        <w:t>, including test length and item types. Typically</w:t>
      </w:r>
      <w:r w:rsidR="00501D5C" w:rsidRPr="003B2AB8">
        <w:t>,</w:t>
      </w:r>
      <w:r w:rsidR="00B82F70" w:rsidRPr="003B2AB8">
        <w:t xml:space="preserve"> longer tests tend to have higher reliability and lower SEM</w:t>
      </w:r>
      <w:r w:rsidR="0081598C" w:rsidRPr="003B2AB8">
        <w:t>s</w:t>
      </w:r>
      <w:r w:rsidR="00B82F70" w:rsidRPr="003B2AB8">
        <w:t xml:space="preserve">. Additionally, mixing item types such as multiple choice items and </w:t>
      </w:r>
      <w:r w:rsidR="00B247C0" w:rsidRPr="003B2AB8">
        <w:t>composition</w:t>
      </w:r>
      <w:r w:rsidR="00B82F70" w:rsidRPr="003B2AB8">
        <w:t xml:space="preserve"> items may result in lower reliability estimates.</w:t>
      </w:r>
      <w:r w:rsidR="002E2626" w:rsidRPr="003B2AB8">
        <w:t xml:space="preserve"> </w:t>
      </w:r>
      <w:r w:rsidR="00171FA8" w:rsidRPr="003B2AB8">
        <w:t>The lower reliability estimates for writing are not surprising, given there are two item types and fewer items overall</w:t>
      </w:r>
      <w:r w:rsidR="00CE25C5" w:rsidRPr="003B2AB8">
        <w:t>, especially for grade 4</w:t>
      </w:r>
      <w:r w:rsidR="00171FA8" w:rsidRPr="003B2AB8">
        <w:t>.</w:t>
      </w:r>
      <w:r w:rsidR="002E2626" w:rsidRPr="003B2AB8">
        <w:t xml:space="preserve"> Most testing programs accept lower reliability </w:t>
      </w:r>
      <w:r w:rsidR="00852D9D" w:rsidRPr="003B2AB8">
        <w:t>estimates</w:t>
      </w:r>
      <w:r w:rsidR="002E2626" w:rsidRPr="003B2AB8">
        <w:t xml:space="preserve"> for </w:t>
      </w:r>
      <w:r w:rsidR="0081598C" w:rsidRPr="003B2AB8">
        <w:t xml:space="preserve">writing </w:t>
      </w:r>
      <w:r w:rsidR="00E85F01" w:rsidRPr="003B2AB8">
        <w:t>tests</w:t>
      </w:r>
      <w:r w:rsidR="00501D5C" w:rsidRPr="003B2AB8">
        <w:t xml:space="preserve"> </w:t>
      </w:r>
      <w:r w:rsidR="002E2626" w:rsidRPr="003B2AB8">
        <w:t xml:space="preserve">because they recognize that </w:t>
      </w:r>
      <w:r w:rsidR="00B247C0" w:rsidRPr="003B2AB8">
        <w:t>composition</w:t>
      </w:r>
      <w:r w:rsidR="00B82F70" w:rsidRPr="003B2AB8">
        <w:t xml:space="preserve"> items are able to measure an aspect of the </w:t>
      </w:r>
      <w:r w:rsidR="0081598C" w:rsidRPr="003B2AB8">
        <w:t xml:space="preserve">writing </w:t>
      </w:r>
      <w:r w:rsidR="00B82F70" w:rsidRPr="003B2AB8">
        <w:t>construct that multiple</w:t>
      </w:r>
      <w:r w:rsidR="00E802C1" w:rsidRPr="003B2AB8">
        <w:t xml:space="preserve"> choice items cannot. This combination of different item formats can increase the content evidence for the validity of test scores, which is more important than the slight reduction in reliability.</w:t>
      </w:r>
    </w:p>
    <w:p w14:paraId="773A7BA2" w14:textId="77777777" w:rsidR="002E2626" w:rsidRPr="003B2AB8" w:rsidRDefault="002E2626" w:rsidP="007623FB">
      <w:pPr>
        <w:pStyle w:val="HBodyText"/>
      </w:pPr>
    </w:p>
    <w:p w14:paraId="19A5F4C8" w14:textId="77777777" w:rsidR="002E2626" w:rsidRPr="003B2AB8" w:rsidRDefault="002E2626" w:rsidP="007623FB">
      <w:pPr>
        <w:pStyle w:val="HBodyText"/>
      </w:pPr>
      <w:r w:rsidRPr="003B2AB8">
        <w:t>Overall, the projected reliability</w:t>
      </w:r>
      <w:r w:rsidR="00852D9D" w:rsidRPr="003B2AB8">
        <w:t xml:space="preserve"> and SEM</w:t>
      </w:r>
      <w:r w:rsidRPr="003B2AB8">
        <w:t xml:space="preserve"> estimates are reasonable. </w:t>
      </w:r>
    </w:p>
    <w:p w14:paraId="0EAC6B1C" w14:textId="77777777" w:rsidR="007623FB" w:rsidRPr="003B2AB8" w:rsidRDefault="007623FB" w:rsidP="00FD3F81"/>
    <w:p w14:paraId="0795CB78" w14:textId="77777777" w:rsidR="00905CDC" w:rsidRPr="003B2AB8" w:rsidRDefault="00905CDC" w:rsidP="007D0070">
      <w:pPr>
        <w:pStyle w:val="HTable"/>
      </w:pPr>
      <w:bookmarkStart w:id="25" w:name="_Toc446071682"/>
      <w:r w:rsidRPr="003B2AB8">
        <w:t>Table 7. Projecte</w:t>
      </w:r>
      <w:r w:rsidR="00FD3F81" w:rsidRPr="003B2AB8">
        <w:t>d Reliability and SEM Estimates</w:t>
      </w:r>
      <w:bookmarkEnd w:id="25"/>
    </w:p>
    <w:tbl>
      <w:tblPr>
        <w:tblStyle w:val="TableGrid"/>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1368"/>
        <w:gridCol w:w="990"/>
        <w:gridCol w:w="2250"/>
        <w:gridCol w:w="2091"/>
      </w:tblGrid>
      <w:tr w:rsidR="001174CF" w:rsidRPr="003B2AB8" w14:paraId="6A9AB32B" w14:textId="77777777" w:rsidTr="001174CF">
        <w:trPr>
          <w:trHeight w:val="547"/>
        </w:trPr>
        <w:tc>
          <w:tcPr>
            <w:tcW w:w="1368" w:type="dxa"/>
            <w:tcBorders>
              <w:bottom w:val="single" w:sz="8" w:space="0" w:color="D9D9D9"/>
            </w:tcBorders>
            <w:shd w:val="clear" w:color="auto" w:fill="0080BA"/>
            <w:noWrap/>
            <w:hideMark/>
          </w:tcPr>
          <w:p w14:paraId="18AB7A36" w14:textId="77777777" w:rsidR="00326B3E" w:rsidRPr="003B2AB8" w:rsidRDefault="00326B3E" w:rsidP="001174CF">
            <w:pPr>
              <w:rPr>
                <w:color w:val="FFFFFF" w:themeColor="background1"/>
                <w:sz w:val="20"/>
                <w:szCs w:val="20"/>
              </w:rPr>
            </w:pPr>
            <w:r w:rsidRPr="003B2AB8">
              <w:rPr>
                <w:color w:val="FFFFFF" w:themeColor="background1"/>
                <w:sz w:val="20"/>
                <w:szCs w:val="20"/>
              </w:rPr>
              <w:t>Subject</w:t>
            </w:r>
          </w:p>
        </w:tc>
        <w:tc>
          <w:tcPr>
            <w:tcW w:w="990" w:type="dxa"/>
            <w:tcBorders>
              <w:bottom w:val="single" w:sz="8" w:space="0" w:color="D9D9D9"/>
            </w:tcBorders>
            <w:shd w:val="clear" w:color="auto" w:fill="0080BA"/>
            <w:hideMark/>
          </w:tcPr>
          <w:p w14:paraId="057C2544" w14:textId="77777777" w:rsidR="00326B3E" w:rsidRPr="003B2AB8" w:rsidRDefault="00326B3E" w:rsidP="001174CF">
            <w:pPr>
              <w:rPr>
                <w:color w:val="FFFFFF" w:themeColor="background1"/>
                <w:sz w:val="20"/>
                <w:szCs w:val="20"/>
              </w:rPr>
            </w:pPr>
            <w:r w:rsidRPr="003B2AB8">
              <w:rPr>
                <w:color w:val="FFFFFF" w:themeColor="background1"/>
                <w:sz w:val="20"/>
                <w:szCs w:val="20"/>
              </w:rPr>
              <w:t>Grade</w:t>
            </w:r>
          </w:p>
        </w:tc>
        <w:tc>
          <w:tcPr>
            <w:tcW w:w="2250" w:type="dxa"/>
            <w:tcBorders>
              <w:bottom w:val="single" w:sz="8" w:space="0" w:color="D9D9D9"/>
            </w:tcBorders>
            <w:shd w:val="clear" w:color="auto" w:fill="0080BA"/>
            <w:hideMark/>
          </w:tcPr>
          <w:p w14:paraId="06AE454C" w14:textId="77777777" w:rsidR="00326B3E" w:rsidRPr="003B2AB8" w:rsidRDefault="007707C8" w:rsidP="001174CF">
            <w:pPr>
              <w:rPr>
                <w:color w:val="FFFFFF" w:themeColor="background1"/>
                <w:sz w:val="20"/>
                <w:szCs w:val="20"/>
              </w:rPr>
            </w:pPr>
            <w:r w:rsidRPr="003B2AB8">
              <w:rPr>
                <w:color w:val="FFFFFF" w:themeColor="background1"/>
                <w:sz w:val="20"/>
                <w:szCs w:val="20"/>
              </w:rPr>
              <w:t>KZH Projected Reliability</w:t>
            </w:r>
          </w:p>
        </w:tc>
        <w:tc>
          <w:tcPr>
            <w:tcW w:w="2091" w:type="dxa"/>
            <w:tcBorders>
              <w:bottom w:val="single" w:sz="8" w:space="0" w:color="D9D9D9"/>
            </w:tcBorders>
            <w:shd w:val="clear" w:color="auto" w:fill="0080BA"/>
            <w:hideMark/>
          </w:tcPr>
          <w:p w14:paraId="66A532CC" w14:textId="77777777" w:rsidR="00326B3E" w:rsidRPr="003B2AB8" w:rsidRDefault="007707C8" w:rsidP="001174CF">
            <w:pPr>
              <w:rPr>
                <w:color w:val="FFFFFF" w:themeColor="background1"/>
                <w:sz w:val="20"/>
                <w:szCs w:val="20"/>
              </w:rPr>
            </w:pPr>
            <w:r w:rsidRPr="003B2AB8">
              <w:rPr>
                <w:color w:val="FFFFFF" w:themeColor="background1"/>
                <w:sz w:val="20"/>
                <w:szCs w:val="20"/>
              </w:rPr>
              <w:t>KZH Projected SEM</w:t>
            </w:r>
          </w:p>
        </w:tc>
      </w:tr>
      <w:tr w:rsidR="00D84EA2" w:rsidRPr="003B2AB8" w14:paraId="7E8B287A" w14:textId="77777777" w:rsidTr="001174CF">
        <w:trPr>
          <w:trHeight w:val="285"/>
        </w:trPr>
        <w:tc>
          <w:tcPr>
            <w:tcW w:w="1368" w:type="dxa"/>
            <w:shd w:val="clear" w:color="auto" w:fill="BFBFBF"/>
            <w:hideMark/>
          </w:tcPr>
          <w:p w14:paraId="4BD86A83" w14:textId="77777777" w:rsidR="00D84EA2" w:rsidRPr="003B2AB8" w:rsidRDefault="00D84EA2" w:rsidP="001174CF">
            <w:pPr>
              <w:jc w:val="left"/>
              <w:rPr>
                <w:sz w:val="20"/>
                <w:szCs w:val="20"/>
              </w:rPr>
            </w:pPr>
            <w:r w:rsidRPr="003B2AB8">
              <w:rPr>
                <w:color w:val="000000"/>
                <w:sz w:val="20"/>
                <w:szCs w:val="20"/>
              </w:rPr>
              <w:t>Reading</w:t>
            </w:r>
          </w:p>
        </w:tc>
        <w:tc>
          <w:tcPr>
            <w:tcW w:w="990" w:type="dxa"/>
            <w:shd w:val="clear" w:color="auto" w:fill="F0F0F0"/>
            <w:noWrap/>
            <w:hideMark/>
          </w:tcPr>
          <w:p w14:paraId="487B0106" w14:textId="77777777" w:rsidR="00D84EA2" w:rsidRPr="003B2AB8" w:rsidRDefault="00D84EA2" w:rsidP="001174CF">
            <w:pPr>
              <w:rPr>
                <w:color w:val="000000"/>
                <w:sz w:val="20"/>
                <w:szCs w:val="20"/>
              </w:rPr>
            </w:pPr>
            <w:r w:rsidRPr="003B2AB8">
              <w:rPr>
                <w:color w:val="000000"/>
                <w:sz w:val="20"/>
                <w:szCs w:val="20"/>
              </w:rPr>
              <w:t>5</w:t>
            </w:r>
          </w:p>
        </w:tc>
        <w:tc>
          <w:tcPr>
            <w:tcW w:w="2250" w:type="dxa"/>
            <w:shd w:val="clear" w:color="auto" w:fill="F0F0F0"/>
            <w:noWrap/>
            <w:hideMark/>
          </w:tcPr>
          <w:p w14:paraId="31E3306D" w14:textId="591A3C4F" w:rsidR="00D84EA2" w:rsidRPr="003B2AB8" w:rsidRDefault="00D84EA2" w:rsidP="001174CF">
            <w:pPr>
              <w:rPr>
                <w:color w:val="000000"/>
                <w:sz w:val="20"/>
                <w:szCs w:val="20"/>
              </w:rPr>
            </w:pPr>
            <w:r w:rsidRPr="003B2AB8">
              <w:rPr>
                <w:color w:val="000000"/>
                <w:sz w:val="20"/>
                <w:szCs w:val="20"/>
              </w:rPr>
              <w:t>0.908</w:t>
            </w:r>
          </w:p>
        </w:tc>
        <w:tc>
          <w:tcPr>
            <w:tcW w:w="2091" w:type="dxa"/>
            <w:shd w:val="clear" w:color="auto" w:fill="F0F0F0"/>
            <w:noWrap/>
            <w:hideMark/>
          </w:tcPr>
          <w:p w14:paraId="73C598FD" w14:textId="77777777" w:rsidR="00D84EA2" w:rsidRPr="003B2AB8" w:rsidRDefault="00D84EA2" w:rsidP="001174CF">
            <w:pPr>
              <w:rPr>
                <w:color w:val="000000"/>
                <w:sz w:val="20"/>
                <w:szCs w:val="20"/>
              </w:rPr>
            </w:pPr>
            <w:r w:rsidRPr="003B2AB8">
              <w:rPr>
                <w:color w:val="000000"/>
                <w:sz w:val="20"/>
                <w:szCs w:val="20"/>
              </w:rPr>
              <w:t>2.75</w:t>
            </w:r>
          </w:p>
        </w:tc>
      </w:tr>
      <w:tr w:rsidR="00D84EA2" w:rsidRPr="003B2AB8" w14:paraId="4B2E5D1A" w14:textId="77777777" w:rsidTr="001174CF">
        <w:trPr>
          <w:trHeight w:val="285"/>
        </w:trPr>
        <w:tc>
          <w:tcPr>
            <w:tcW w:w="1368" w:type="dxa"/>
            <w:shd w:val="clear" w:color="auto" w:fill="BFBFBF"/>
            <w:hideMark/>
          </w:tcPr>
          <w:p w14:paraId="3B9CD937" w14:textId="77777777" w:rsidR="00D84EA2" w:rsidRPr="003B2AB8" w:rsidRDefault="00D84EA2" w:rsidP="001174CF">
            <w:pPr>
              <w:jc w:val="left"/>
              <w:rPr>
                <w:sz w:val="20"/>
                <w:szCs w:val="20"/>
              </w:rPr>
            </w:pPr>
            <w:r w:rsidRPr="003B2AB8">
              <w:rPr>
                <w:color w:val="000000"/>
                <w:sz w:val="20"/>
                <w:szCs w:val="20"/>
              </w:rPr>
              <w:t>Reading</w:t>
            </w:r>
          </w:p>
        </w:tc>
        <w:tc>
          <w:tcPr>
            <w:tcW w:w="990" w:type="dxa"/>
            <w:tcBorders>
              <w:bottom w:val="single" w:sz="8" w:space="0" w:color="D9D9D9"/>
            </w:tcBorders>
            <w:noWrap/>
            <w:hideMark/>
          </w:tcPr>
          <w:p w14:paraId="0B45E76E" w14:textId="77777777" w:rsidR="00D84EA2" w:rsidRPr="003B2AB8" w:rsidRDefault="00D84EA2" w:rsidP="001174CF">
            <w:pPr>
              <w:rPr>
                <w:color w:val="000000"/>
                <w:sz w:val="20"/>
                <w:szCs w:val="20"/>
              </w:rPr>
            </w:pPr>
            <w:r w:rsidRPr="003B2AB8">
              <w:rPr>
                <w:color w:val="000000"/>
                <w:sz w:val="20"/>
                <w:szCs w:val="20"/>
              </w:rPr>
              <w:t>8</w:t>
            </w:r>
          </w:p>
        </w:tc>
        <w:tc>
          <w:tcPr>
            <w:tcW w:w="2250" w:type="dxa"/>
            <w:tcBorders>
              <w:bottom w:val="single" w:sz="8" w:space="0" w:color="D9D9D9"/>
            </w:tcBorders>
            <w:noWrap/>
            <w:hideMark/>
          </w:tcPr>
          <w:p w14:paraId="13CC0F46" w14:textId="77777777" w:rsidR="00D84EA2" w:rsidRPr="003B2AB8" w:rsidRDefault="00D84EA2" w:rsidP="001174CF">
            <w:pPr>
              <w:rPr>
                <w:color w:val="000000"/>
                <w:sz w:val="20"/>
                <w:szCs w:val="20"/>
              </w:rPr>
            </w:pPr>
            <w:r w:rsidRPr="003B2AB8">
              <w:rPr>
                <w:color w:val="000000"/>
                <w:sz w:val="20"/>
                <w:szCs w:val="20"/>
              </w:rPr>
              <w:t>0.914</w:t>
            </w:r>
          </w:p>
        </w:tc>
        <w:tc>
          <w:tcPr>
            <w:tcW w:w="2091" w:type="dxa"/>
            <w:tcBorders>
              <w:bottom w:val="single" w:sz="8" w:space="0" w:color="D9D9D9"/>
            </w:tcBorders>
            <w:noWrap/>
            <w:hideMark/>
          </w:tcPr>
          <w:p w14:paraId="1672BFA2" w14:textId="77777777" w:rsidR="00D84EA2" w:rsidRPr="003B2AB8" w:rsidRDefault="00D84EA2" w:rsidP="001174CF">
            <w:pPr>
              <w:rPr>
                <w:color w:val="000000"/>
                <w:sz w:val="20"/>
                <w:szCs w:val="20"/>
              </w:rPr>
            </w:pPr>
            <w:r w:rsidRPr="003B2AB8">
              <w:rPr>
                <w:color w:val="000000"/>
                <w:sz w:val="20"/>
                <w:szCs w:val="20"/>
              </w:rPr>
              <w:t>2.94</w:t>
            </w:r>
          </w:p>
        </w:tc>
      </w:tr>
      <w:tr w:rsidR="00D84EA2" w:rsidRPr="003B2AB8" w14:paraId="6DB7430C" w14:textId="77777777" w:rsidTr="001174CF">
        <w:trPr>
          <w:trHeight w:val="285"/>
        </w:trPr>
        <w:tc>
          <w:tcPr>
            <w:tcW w:w="1368" w:type="dxa"/>
            <w:shd w:val="clear" w:color="auto" w:fill="BFBFBF"/>
            <w:hideMark/>
          </w:tcPr>
          <w:p w14:paraId="4CB69193" w14:textId="77777777" w:rsidR="00D84EA2" w:rsidRPr="003B2AB8" w:rsidRDefault="00D84EA2" w:rsidP="001174CF">
            <w:pPr>
              <w:jc w:val="left"/>
              <w:rPr>
                <w:sz w:val="20"/>
                <w:szCs w:val="20"/>
              </w:rPr>
            </w:pPr>
            <w:r w:rsidRPr="003B2AB8">
              <w:rPr>
                <w:color w:val="000000"/>
                <w:sz w:val="20"/>
                <w:szCs w:val="20"/>
              </w:rPr>
              <w:t>Math</w:t>
            </w:r>
            <w:r w:rsidR="0081598C" w:rsidRPr="003B2AB8">
              <w:rPr>
                <w:color w:val="000000"/>
                <w:sz w:val="20"/>
                <w:szCs w:val="20"/>
              </w:rPr>
              <w:t>ematics</w:t>
            </w:r>
          </w:p>
        </w:tc>
        <w:tc>
          <w:tcPr>
            <w:tcW w:w="990" w:type="dxa"/>
            <w:shd w:val="clear" w:color="auto" w:fill="F0F0F0"/>
            <w:noWrap/>
            <w:hideMark/>
          </w:tcPr>
          <w:p w14:paraId="12FB9A28" w14:textId="77777777" w:rsidR="00D84EA2" w:rsidRPr="003B2AB8" w:rsidRDefault="00D84EA2" w:rsidP="001174CF">
            <w:pPr>
              <w:rPr>
                <w:color w:val="000000"/>
                <w:sz w:val="20"/>
                <w:szCs w:val="20"/>
              </w:rPr>
            </w:pPr>
            <w:r w:rsidRPr="003B2AB8">
              <w:rPr>
                <w:color w:val="000000"/>
                <w:sz w:val="20"/>
                <w:szCs w:val="20"/>
              </w:rPr>
              <w:t>5</w:t>
            </w:r>
          </w:p>
        </w:tc>
        <w:tc>
          <w:tcPr>
            <w:tcW w:w="2250" w:type="dxa"/>
            <w:shd w:val="clear" w:color="auto" w:fill="F0F0F0"/>
            <w:noWrap/>
            <w:hideMark/>
          </w:tcPr>
          <w:p w14:paraId="5955BDA2" w14:textId="5E889689" w:rsidR="00D84EA2" w:rsidRPr="003B2AB8" w:rsidRDefault="00D84EA2" w:rsidP="001174CF">
            <w:pPr>
              <w:rPr>
                <w:color w:val="000000"/>
                <w:sz w:val="20"/>
                <w:szCs w:val="20"/>
              </w:rPr>
            </w:pPr>
            <w:r w:rsidRPr="003B2AB8">
              <w:rPr>
                <w:color w:val="000000"/>
                <w:sz w:val="20"/>
                <w:szCs w:val="20"/>
              </w:rPr>
              <w:t>0.913</w:t>
            </w:r>
          </w:p>
        </w:tc>
        <w:tc>
          <w:tcPr>
            <w:tcW w:w="2091" w:type="dxa"/>
            <w:shd w:val="clear" w:color="auto" w:fill="F0F0F0"/>
            <w:noWrap/>
            <w:hideMark/>
          </w:tcPr>
          <w:p w14:paraId="4958C62B" w14:textId="77777777" w:rsidR="00D84EA2" w:rsidRPr="003B2AB8" w:rsidRDefault="00D84EA2" w:rsidP="001174CF">
            <w:pPr>
              <w:rPr>
                <w:color w:val="000000"/>
                <w:sz w:val="20"/>
                <w:szCs w:val="20"/>
              </w:rPr>
            </w:pPr>
            <w:r w:rsidRPr="003B2AB8">
              <w:rPr>
                <w:color w:val="000000"/>
                <w:sz w:val="20"/>
                <w:szCs w:val="20"/>
              </w:rPr>
              <w:t>3.09</w:t>
            </w:r>
          </w:p>
        </w:tc>
      </w:tr>
      <w:tr w:rsidR="00D84EA2" w:rsidRPr="003B2AB8" w14:paraId="3C1CE3AD" w14:textId="77777777" w:rsidTr="001174CF">
        <w:trPr>
          <w:trHeight w:val="300"/>
        </w:trPr>
        <w:tc>
          <w:tcPr>
            <w:tcW w:w="1368" w:type="dxa"/>
            <w:shd w:val="clear" w:color="auto" w:fill="BFBFBF"/>
            <w:hideMark/>
          </w:tcPr>
          <w:p w14:paraId="2A9424FD" w14:textId="77777777" w:rsidR="00D84EA2" w:rsidRPr="003B2AB8" w:rsidRDefault="00D84EA2" w:rsidP="001174CF">
            <w:pPr>
              <w:jc w:val="left"/>
              <w:rPr>
                <w:b/>
                <w:bCs/>
                <w:sz w:val="20"/>
                <w:szCs w:val="20"/>
              </w:rPr>
            </w:pPr>
            <w:r w:rsidRPr="003B2AB8">
              <w:rPr>
                <w:color w:val="000000"/>
                <w:sz w:val="20"/>
                <w:szCs w:val="20"/>
              </w:rPr>
              <w:t>Math</w:t>
            </w:r>
            <w:r w:rsidR="0081598C" w:rsidRPr="003B2AB8">
              <w:rPr>
                <w:color w:val="000000"/>
                <w:sz w:val="20"/>
                <w:szCs w:val="20"/>
              </w:rPr>
              <w:t>ematics</w:t>
            </w:r>
          </w:p>
        </w:tc>
        <w:tc>
          <w:tcPr>
            <w:tcW w:w="990" w:type="dxa"/>
            <w:tcBorders>
              <w:bottom w:val="single" w:sz="8" w:space="0" w:color="D9D9D9"/>
            </w:tcBorders>
            <w:noWrap/>
            <w:hideMark/>
          </w:tcPr>
          <w:p w14:paraId="105BBAAE" w14:textId="77777777" w:rsidR="00D84EA2" w:rsidRPr="003B2AB8" w:rsidRDefault="00D84EA2" w:rsidP="001174CF">
            <w:pPr>
              <w:rPr>
                <w:b/>
                <w:bCs/>
                <w:color w:val="000000"/>
                <w:sz w:val="20"/>
                <w:szCs w:val="20"/>
              </w:rPr>
            </w:pPr>
            <w:r w:rsidRPr="003B2AB8">
              <w:rPr>
                <w:color w:val="000000"/>
                <w:sz w:val="20"/>
                <w:szCs w:val="20"/>
              </w:rPr>
              <w:t>8</w:t>
            </w:r>
          </w:p>
        </w:tc>
        <w:tc>
          <w:tcPr>
            <w:tcW w:w="2250" w:type="dxa"/>
            <w:tcBorders>
              <w:bottom w:val="single" w:sz="8" w:space="0" w:color="D9D9D9"/>
            </w:tcBorders>
            <w:noWrap/>
            <w:hideMark/>
          </w:tcPr>
          <w:p w14:paraId="2A15649A" w14:textId="77777777" w:rsidR="00D84EA2" w:rsidRPr="003B2AB8" w:rsidRDefault="00D84EA2" w:rsidP="001174CF">
            <w:pPr>
              <w:rPr>
                <w:b/>
                <w:bCs/>
                <w:color w:val="000000"/>
                <w:sz w:val="20"/>
                <w:szCs w:val="20"/>
              </w:rPr>
            </w:pPr>
            <w:r w:rsidRPr="003B2AB8">
              <w:rPr>
                <w:color w:val="000000"/>
                <w:sz w:val="20"/>
                <w:szCs w:val="20"/>
              </w:rPr>
              <w:t>0.907</w:t>
            </w:r>
          </w:p>
        </w:tc>
        <w:tc>
          <w:tcPr>
            <w:tcW w:w="2091" w:type="dxa"/>
            <w:tcBorders>
              <w:bottom w:val="single" w:sz="8" w:space="0" w:color="D9D9D9"/>
            </w:tcBorders>
            <w:noWrap/>
            <w:hideMark/>
          </w:tcPr>
          <w:p w14:paraId="11C1350D" w14:textId="77777777" w:rsidR="00D84EA2" w:rsidRPr="003B2AB8" w:rsidRDefault="00D84EA2" w:rsidP="001174CF">
            <w:pPr>
              <w:rPr>
                <w:b/>
                <w:bCs/>
                <w:color w:val="000000"/>
                <w:sz w:val="20"/>
                <w:szCs w:val="20"/>
              </w:rPr>
            </w:pPr>
            <w:r w:rsidRPr="003B2AB8">
              <w:rPr>
                <w:color w:val="000000"/>
                <w:sz w:val="20"/>
                <w:szCs w:val="20"/>
              </w:rPr>
              <w:t>3.14</w:t>
            </w:r>
          </w:p>
        </w:tc>
      </w:tr>
      <w:tr w:rsidR="00D84EA2" w:rsidRPr="003B2AB8" w14:paraId="0ACB2A9F" w14:textId="77777777" w:rsidTr="001174CF">
        <w:trPr>
          <w:trHeight w:val="300"/>
        </w:trPr>
        <w:tc>
          <w:tcPr>
            <w:tcW w:w="1368" w:type="dxa"/>
            <w:shd w:val="clear" w:color="auto" w:fill="BFBFBF"/>
          </w:tcPr>
          <w:p w14:paraId="3B574747" w14:textId="77777777" w:rsidR="00D84EA2" w:rsidRPr="003B2AB8" w:rsidRDefault="00D84EA2" w:rsidP="001174CF">
            <w:pPr>
              <w:jc w:val="left"/>
              <w:rPr>
                <w:b/>
                <w:bCs/>
                <w:sz w:val="20"/>
                <w:szCs w:val="20"/>
              </w:rPr>
            </w:pPr>
            <w:r w:rsidRPr="003B2AB8">
              <w:rPr>
                <w:color w:val="000000"/>
                <w:sz w:val="20"/>
                <w:szCs w:val="20"/>
              </w:rPr>
              <w:t>Writing</w:t>
            </w:r>
          </w:p>
        </w:tc>
        <w:tc>
          <w:tcPr>
            <w:tcW w:w="990" w:type="dxa"/>
            <w:shd w:val="clear" w:color="auto" w:fill="F0F0F0"/>
            <w:noWrap/>
          </w:tcPr>
          <w:p w14:paraId="1E564A0F" w14:textId="77777777" w:rsidR="00D84EA2" w:rsidRPr="003B2AB8" w:rsidRDefault="00D84EA2" w:rsidP="001174CF">
            <w:pPr>
              <w:rPr>
                <w:b/>
                <w:bCs/>
                <w:color w:val="000000"/>
                <w:sz w:val="20"/>
                <w:szCs w:val="20"/>
              </w:rPr>
            </w:pPr>
            <w:r w:rsidRPr="003B2AB8">
              <w:rPr>
                <w:color w:val="000000"/>
                <w:sz w:val="20"/>
                <w:szCs w:val="20"/>
              </w:rPr>
              <w:t>4</w:t>
            </w:r>
          </w:p>
        </w:tc>
        <w:tc>
          <w:tcPr>
            <w:tcW w:w="2250" w:type="dxa"/>
            <w:shd w:val="clear" w:color="auto" w:fill="F0F0F0"/>
            <w:noWrap/>
          </w:tcPr>
          <w:p w14:paraId="6F63DE10" w14:textId="3903FEEE" w:rsidR="00D84EA2" w:rsidRPr="003B2AB8" w:rsidRDefault="00996E00" w:rsidP="001174CF">
            <w:pPr>
              <w:rPr>
                <w:b/>
                <w:bCs/>
                <w:color w:val="000000"/>
                <w:sz w:val="20"/>
                <w:szCs w:val="20"/>
              </w:rPr>
            </w:pPr>
            <w:r w:rsidRPr="003B2AB8">
              <w:rPr>
                <w:color w:val="000000"/>
                <w:sz w:val="20"/>
                <w:szCs w:val="20"/>
              </w:rPr>
              <w:t>0.786</w:t>
            </w:r>
          </w:p>
        </w:tc>
        <w:tc>
          <w:tcPr>
            <w:tcW w:w="2091" w:type="dxa"/>
            <w:shd w:val="clear" w:color="auto" w:fill="F0F0F0"/>
            <w:noWrap/>
          </w:tcPr>
          <w:p w14:paraId="654B09FD" w14:textId="77777777" w:rsidR="00D84EA2" w:rsidRPr="003B2AB8" w:rsidRDefault="00996E00" w:rsidP="001174CF">
            <w:pPr>
              <w:rPr>
                <w:b/>
                <w:bCs/>
                <w:color w:val="000000"/>
                <w:sz w:val="20"/>
                <w:szCs w:val="20"/>
              </w:rPr>
            </w:pPr>
            <w:r w:rsidRPr="003B2AB8">
              <w:rPr>
                <w:color w:val="000000"/>
                <w:sz w:val="20"/>
                <w:szCs w:val="20"/>
              </w:rPr>
              <w:t>1.99</w:t>
            </w:r>
          </w:p>
        </w:tc>
      </w:tr>
      <w:tr w:rsidR="00D84EA2" w:rsidRPr="003B2AB8" w14:paraId="7CCE3076" w14:textId="77777777" w:rsidTr="001174CF">
        <w:trPr>
          <w:trHeight w:val="300"/>
        </w:trPr>
        <w:tc>
          <w:tcPr>
            <w:tcW w:w="1368" w:type="dxa"/>
            <w:shd w:val="clear" w:color="auto" w:fill="BFBFBF"/>
          </w:tcPr>
          <w:p w14:paraId="2F2EC4F8" w14:textId="77777777" w:rsidR="00D84EA2" w:rsidRPr="003B2AB8" w:rsidRDefault="00D84EA2" w:rsidP="001174CF">
            <w:pPr>
              <w:jc w:val="left"/>
              <w:rPr>
                <w:b/>
                <w:bCs/>
                <w:sz w:val="20"/>
                <w:szCs w:val="20"/>
              </w:rPr>
            </w:pPr>
            <w:r w:rsidRPr="003B2AB8">
              <w:rPr>
                <w:color w:val="000000"/>
                <w:sz w:val="20"/>
                <w:szCs w:val="20"/>
              </w:rPr>
              <w:t>Writing</w:t>
            </w:r>
          </w:p>
        </w:tc>
        <w:tc>
          <w:tcPr>
            <w:tcW w:w="990" w:type="dxa"/>
            <w:noWrap/>
          </w:tcPr>
          <w:p w14:paraId="30472234" w14:textId="77777777" w:rsidR="00D84EA2" w:rsidRPr="003B2AB8" w:rsidRDefault="00D84EA2" w:rsidP="001174CF">
            <w:pPr>
              <w:rPr>
                <w:b/>
                <w:bCs/>
                <w:color w:val="000000"/>
                <w:sz w:val="20"/>
                <w:szCs w:val="20"/>
              </w:rPr>
            </w:pPr>
            <w:r w:rsidRPr="003B2AB8">
              <w:rPr>
                <w:color w:val="000000"/>
                <w:sz w:val="20"/>
                <w:szCs w:val="20"/>
              </w:rPr>
              <w:t>7</w:t>
            </w:r>
          </w:p>
        </w:tc>
        <w:tc>
          <w:tcPr>
            <w:tcW w:w="2250" w:type="dxa"/>
            <w:noWrap/>
          </w:tcPr>
          <w:p w14:paraId="33F80300" w14:textId="77777777" w:rsidR="00D84EA2" w:rsidRPr="003B2AB8" w:rsidRDefault="00D84EA2" w:rsidP="001174CF">
            <w:pPr>
              <w:rPr>
                <w:b/>
                <w:bCs/>
                <w:color w:val="000000"/>
                <w:sz w:val="20"/>
                <w:szCs w:val="20"/>
              </w:rPr>
            </w:pPr>
            <w:r w:rsidRPr="003B2AB8">
              <w:rPr>
                <w:color w:val="000000"/>
                <w:sz w:val="20"/>
                <w:szCs w:val="20"/>
              </w:rPr>
              <w:t>0.84</w:t>
            </w:r>
            <w:r w:rsidR="006F223D" w:rsidRPr="003B2AB8">
              <w:rPr>
                <w:color w:val="000000"/>
                <w:sz w:val="20"/>
                <w:szCs w:val="20"/>
              </w:rPr>
              <w:t>6</w:t>
            </w:r>
          </w:p>
        </w:tc>
        <w:tc>
          <w:tcPr>
            <w:tcW w:w="2091" w:type="dxa"/>
            <w:noWrap/>
          </w:tcPr>
          <w:p w14:paraId="4C97F63C" w14:textId="77777777" w:rsidR="00D84EA2" w:rsidRPr="003B2AB8" w:rsidRDefault="00D84EA2" w:rsidP="001174CF">
            <w:pPr>
              <w:rPr>
                <w:b/>
                <w:bCs/>
                <w:color w:val="000000"/>
                <w:sz w:val="20"/>
                <w:szCs w:val="20"/>
              </w:rPr>
            </w:pPr>
            <w:r w:rsidRPr="003B2AB8">
              <w:rPr>
                <w:color w:val="000000"/>
                <w:sz w:val="20"/>
                <w:szCs w:val="20"/>
              </w:rPr>
              <w:t>3</w:t>
            </w:r>
            <w:r w:rsidR="006F223D" w:rsidRPr="003B2AB8">
              <w:rPr>
                <w:color w:val="000000"/>
                <w:sz w:val="20"/>
                <w:szCs w:val="20"/>
              </w:rPr>
              <w:t>.10</w:t>
            </w:r>
          </w:p>
        </w:tc>
      </w:tr>
    </w:tbl>
    <w:p w14:paraId="0D2628D0" w14:textId="77777777" w:rsidR="00326B3E" w:rsidRPr="003B2AB8" w:rsidRDefault="00326B3E" w:rsidP="00FD3F81"/>
    <w:p w14:paraId="0BF8767A" w14:textId="77777777" w:rsidR="00DF2682" w:rsidRPr="003B2AB8" w:rsidRDefault="00DF2682" w:rsidP="00DF2682">
      <w:pPr>
        <w:pStyle w:val="HLevel2"/>
        <w:rPr>
          <w:noProof w:val="0"/>
        </w:rPr>
      </w:pPr>
      <w:bookmarkStart w:id="26" w:name="_Toc446343622"/>
      <w:r w:rsidRPr="003B2AB8">
        <w:rPr>
          <w:noProof w:val="0"/>
        </w:rPr>
        <w:t xml:space="preserve">Replication of </w:t>
      </w:r>
      <w:r w:rsidR="00FD3F81" w:rsidRPr="003B2AB8">
        <w:rPr>
          <w:noProof w:val="0"/>
        </w:rPr>
        <w:t>C</w:t>
      </w:r>
      <w:r w:rsidRPr="003B2AB8">
        <w:rPr>
          <w:noProof w:val="0"/>
        </w:rPr>
        <w:t xml:space="preserve">alibration and </w:t>
      </w:r>
      <w:r w:rsidR="00FD3F81" w:rsidRPr="003B2AB8">
        <w:rPr>
          <w:noProof w:val="0"/>
        </w:rPr>
        <w:t>E</w:t>
      </w:r>
      <w:r w:rsidRPr="003B2AB8">
        <w:rPr>
          <w:noProof w:val="0"/>
        </w:rPr>
        <w:t xml:space="preserve">quating </w:t>
      </w:r>
      <w:r w:rsidR="00FD3F81" w:rsidRPr="003B2AB8">
        <w:rPr>
          <w:noProof w:val="0"/>
        </w:rPr>
        <w:t>Procedures</w:t>
      </w:r>
      <w:bookmarkEnd w:id="26"/>
    </w:p>
    <w:p w14:paraId="55E5E1AA" w14:textId="37F11D47" w:rsidR="00D024B7" w:rsidRPr="003B2AB8" w:rsidRDefault="00DF2682" w:rsidP="00D024B7">
      <w:pPr>
        <w:pStyle w:val="HBodyText"/>
      </w:pPr>
      <w:r w:rsidRPr="003B2AB8">
        <w:t xml:space="preserve">We conducted a procedural replication of the 2015 calibration and equating process. Following the 2015 </w:t>
      </w:r>
      <w:r w:rsidR="00381D0A" w:rsidRPr="003B2AB8">
        <w:t xml:space="preserve">STAAR </w:t>
      </w:r>
      <w:r w:rsidR="00F62EAB" w:rsidRPr="003B2AB8">
        <w:t>equating</w:t>
      </w:r>
      <w:r w:rsidR="00E85F01" w:rsidRPr="003B2AB8">
        <w:t xml:space="preserve"> specifications</w:t>
      </w:r>
      <w:r w:rsidR="00381D0A" w:rsidRPr="003B2AB8">
        <w:t xml:space="preserve"> (made available to HumRRO)</w:t>
      </w:r>
      <w:r w:rsidR="00E85F01" w:rsidRPr="003B2AB8">
        <w:t>, we conducted</w:t>
      </w:r>
      <w:r w:rsidRPr="003B2AB8">
        <w:t xml:space="preserve"> calibration analyses on the 2015 operational items for </w:t>
      </w:r>
      <w:r w:rsidR="0081598C" w:rsidRPr="003B2AB8">
        <w:t xml:space="preserve">mathematics </w:t>
      </w:r>
      <w:r w:rsidRPr="003B2AB8">
        <w:t xml:space="preserve">and </w:t>
      </w:r>
      <w:r w:rsidR="0081598C" w:rsidRPr="003B2AB8">
        <w:t xml:space="preserve">reading </w:t>
      </w:r>
      <w:r w:rsidRPr="003B2AB8">
        <w:t xml:space="preserve">grades 5 and 8 and </w:t>
      </w:r>
      <w:r w:rsidR="0081598C" w:rsidRPr="003B2AB8">
        <w:t xml:space="preserve">writing </w:t>
      </w:r>
      <w:r w:rsidRPr="003B2AB8">
        <w:t xml:space="preserve">grades 4 and 7. For </w:t>
      </w:r>
      <w:r w:rsidR="0081598C" w:rsidRPr="003B2AB8">
        <w:t xml:space="preserve">reading </w:t>
      </w:r>
      <w:r w:rsidRPr="003B2AB8">
        <w:t xml:space="preserve">and </w:t>
      </w:r>
      <w:r w:rsidR="0081598C" w:rsidRPr="003B2AB8">
        <w:t>writing</w:t>
      </w:r>
      <w:r w:rsidRPr="003B2AB8">
        <w:t>, we also conduct</w:t>
      </w:r>
      <w:r w:rsidR="00E85F01" w:rsidRPr="003B2AB8">
        <w:t>ed</w:t>
      </w:r>
      <w:r w:rsidRPr="003B2AB8">
        <w:t xml:space="preserve"> equating analyses to put the 2015 operational items onto the STA</w:t>
      </w:r>
      <w:r w:rsidR="00EB2DE7" w:rsidRPr="003B2AB8">
        <w:t>A</w:t>
      </w:r>
      <w:r w:rsidRPr="003B2AB8">
        <w:t>R’s scale. Finally, we calibrated and equated the field test items for all grades and subjects. Overall, the procedures used by the primary contractor to calibrate and equate operational and field test items are acceptable and should result in test scores for a given grade having the same</w:t>
      </w:r>
      <w:r w:rsidR="00D024B7" w:rsidRPr="003B2AB8">
        <w:t xml:space="preserve"> meaning year to year. </w:t>
      </w:r>
    </w:p>
    <w:p w14:paraId="6F0F0B33" w14:textId="77777777" w:rsidR="00D024B7" w:rsidRPr="003B2AB8" w:rsidRDefault="00D024B7" w:rsidP="00D024B7">
      <w:pPr>
        <w:pStyle w:val="HBodyText"/>
      </w:pPr>
    </w:p>
    <w:p w14:paraId="2F2D9891" w14:textId="1911789A" w:rsidR="006A7A2A" w:rsidRPr="003B2AB8" w:rsidRDefault="007123D8" w:rsidP="006A7A2A">
      <w:pPr>
        <w:pStyle w:val="HBodyText"/>
      </w:pPr>
      <w:r w:rsidRPr="003B2AB8">
        <w:t xml:space="preserve">We </w:t>
      </w:r>
      <w:r w:rsidR="006A7A2A" w:rsidRPr="003B2AB8">
        <w:t xml:space="preserve">are concerned that no composition items were included in the equating item set for </w:t>
      </w:r>
      <w:r w:rsidRPr="003B2AB8">
        <w:t>w</w:t>
      </w:r>
      <w:r w:rsidR="006A7A2A" w:rsidRPr="003B2AB8">
        <w:t xml:space="preserve">riting. As noted in the STAAR equating specifications document, it is important to examine the final equating set for content representation. The equating set should represent the continuum of the content tested. By excluding composition items from the equating set, Texas is limited in being able to adjust for year-to-year differences in content that is covered by the composition items. </w:t>
      </w:r>
      <w:r w:rsidR="00CE25C5" w:rsidRPr="003B2AB8">
        <w:t xml:space="preserve">However, this is not an uncommon practice for large-scale testing programs. There are many practical limitations to including open response </w:t>
      </w:r>
      <w:r w:rsidRPr="003B2AB8">
        <w:t>items in the equating set. N</w:t>
      </w:r>
      <w:r w:rsidR="00CE25C5" w:rsidRPr="003B2AB8">
        <w:t>otably, typically only one or two open response items are included on</w:t>
      </w:r>
      <w:r w:rsidR="00330E8D" w:rsidRPr="003B2AB8">
        <w:t xml:space="preserve"> an</w:t>
      </w:r>
      <w:r w:rsidR="00CE25C5" w:rsidRPr="003B2AB8">
        <w:t xml:space="preserve"> exam and this type of item tends to be very memorable. Including open response items in the equating set requires repeating the item year to year, increasing the</w:t>
      </w:r>
      <w:r w:rsidRPr="003B2AB8">
        <w:t xml:space="preserve"> likelihood of exposure</w:t>
      </w:r>
      <w:r w:rsidR="00CE25C5" w:rsidRPr="003B2AB8">
        <w:t xml:space="preserve">. </w:t>
      </w:r>
      <w:r w:rsidR="00330E8D" w:rsidRPr="003B2AB8">
        <w:t>Th</w:t>
      </w:r>
      <w:r w:rsidRPr="003B2AB8">
        <w:t>e</w:t>
      </w:r>
      <w:r w:rsidR="00330E8D" w:rsidRPr="003B2AB8">
        <w:t xml:space="preserve"> risk </w:t>
      </w:r>
      <w:r w:rsidRPr="003B2AB8">
        <w:t xml:space="preserve">of exposure typically </w:t>
      </w:r>
      <w:r w:rsidR="00330E8D" w:rsidRPr="003B2AB8">
        <w:t xml:space="preserve">out weights the benefit of including the item type in the equating set. </w:t>
      </w:r>
    </w:p>
    <w:p w14:paraId="123EABD4" w14:textId="77777777" w:rsidR="00D024B7" w:rsidRPr="003B2AB8" w:rsidRDefault="00D024B7" w:rsidP="00B0084C"/>
    <w:p w14:paraId="095294CC" w14:textId="77777777" w:rsidR="001C0BF1" w:rsidRPr="003B2AB8" w:rsidRDefault="001C0BF1" w:rsidP="00113149">
      <w:pPr>
        <w:pStyle w:val="HLevel1"/>
      </w:pPr>
      <w:bookmarkStart w:id="27" w:name="_Toc446343623"/>
      <w:r w:rsidRPr="003B2AB8">
        <w:t>Task 3</w:t>
      </w:r>
      <w:r w:rsidR="00CD470F" w:rsidRPr="003B2AB8">
        <w:t>:</w:t>
      </w:r>
      <w:r w:rsidRPr="003B2AB8">
        <w:t xml:space="preserve"> Judgments about Validity and Reliability based on Review of STAAR</w:t>
      </w:r>
      <w:r w:rsidR="00695F3C" w:rsidRPr="003B2AB8">
        <w:t xml:space="preserve"> </w:t>
      </w:r>
      <w:r w:rsidR="00B0084C" w:rsidRPr="003B2AB8">
        <w:t>D</w:t>
      </w:r>
      <w:r w:rsidRPr="003B2AB8">
        <w:t>ocumentation</w:t>
      </w:r>
      <w:bookmarkEnd w:id="27"/>
    </w:p>
    <w:p w14:paraId="4023131A" w14:textId="77777777" w:rsidR="00DF2682" w:rsidRPr="003B2AB8" w:rsidRDefault="00DF2682" w:rsidP="00DF2682">
      <w:pPr>
        <w:pStyle w:val="HLevel2"/>
        <w:rPr>
          <w:noProof w:val="0"/>
        </w:rPr>
      </w:pPr>
      <w:bookmarkStart w:id="28" w:name="_Toc446343624"/>
      <w:r w:rsidRPr="003B2AB8">
        <w:rPr>
          <w:noProof w:val="0"/>
        </w:rPr>
        <w:t>Background</w:t>
      </w:r>
      <w:bookmarkEnd w:id="28"/>
    </w:p>
    <w:p w14:paraId="1CA0A0BE" w14:textId="77777777" w:rsidR="001C0BF1" w:rsidRPr="003B2AB8" w:rsidRDefault="001C0BF1" w:rsidP="001C0BF1">
      <w:pPr>
        <w:pStyle w:val="HBodyText"/>
      </w:pPr>
      <w:r w:rsidRPr="003B2AB8">
        <w:t>While Tasks 1 and 2 were devoted to empirical evidence, this section reports HumRRO’s subjective judgements about the validity and reliability for 2016 STAAR scores based on a review of the processes used to build and administer the assessments. There are two important points in this lead statement.</w:t>
      </w:r>
    </w:p>
    <w:p w14:paraId="594359C3" w14:textId="77777777" w:rsidR="001C0BF1" w:rsidRPr="003B2AB8" w:rsidRDefault="001C0BF1" w:rsidP="001C0BF1">
      <w:pPr>
        <w:pStyle w:val="HBodyText"/>
      </w:pPr>
    </w:p>
    <w:p w14:paraId="07D76549" w14:textId="04B974E3" w:rsidR="001C0BF1" w:rsidRPr="003B2AB8" w:rsidRDefault="001C0BF1" w:rsidP="001C0BF1">
      <w:pPr>
        <w:pStyle w:val="HBodyText"/>
      </w:pPr>
      <w:r w:rsidRPr="003B2AB8">
        <w:t xml:space="preserve">First, </w:t>
      </w:r>
      <w:r w:rsidR="003D118C" w:rsidRPr="003B2AB8">
        <w:t xml:space="preserve">certain types of </w:t>
      </w:r>
      <w:r w:rsidRPr="003B2AB8">
        <w:t xml:space="preserve">evidence for validity and reliability can only be gathered after tests are administered and scores </w:t>
      </w:r>
      <w:r w:rsidR="00763F4C" w:rsidRPr="003B2AB8">
        <w:t>computed</w:t>
      </w:r>
      <w:r w:rsidRPr="003B2AB8">
        <w:t xml:space="preserve">. </w:t>
      </w:r>
      <w:r w:rsidR="00B247C0" w:rsidRPr="003B2AB8">
        <w:t xml:space="preserve">However, </w:t>
      </w:r>
      <w:r w:rsidR="00CA3DFE" w:rsidRPr="003B2AB8">
        <w:t>score v</w:t>
      </w:r>
      <w:r w:rsidRPr="003B2AB8">
        <w:t xml:space="preserve">alidity and reliability </w:t>
      </w:r>
      <w:r w:rsidR="00CA3DFE" w:rsidRPr="003B2AB8">
        <w:t>depend on</w:t>
      </w:r>
      <w:r w:rsidRPr="003B2AB8">
        <w:t xml:space="preserve"> the quality of all of the processes </w:t>
      </w:r>
      <w:r w:rsidR="00763F4C" w:rsidRPr="003B2AB8">
        <w:t>used</w:t>
      </w:r>
      <w:r w:rsidRPr="003B2AB8">
        <w:t xml:space="preserve"> to produce student test scores</w:t>
      </w:r>
      <w:r w:rsidR="00B247C0" w:rsidRPr="003B2AB8">
        <w:t xml:space="preserve">. </w:t>
      </w:r>
      <w:r w:rsidRPr="003B2AB8">
        <w:t xml:space="preserve">In this section, the focus is on </w:t>
      </w:r>
      <w:r w:rsidR="003D118C" w:rsidRPr="003B2AB8">
        <w:t xml:space="preserve">the </w:t>
      </w:r>
      <w:r w:rsidRPr="003B2AB8">
        <w:rPr>
          <w:i/>
        </w:rPr>
        <w:t>potentia</w:t>
      </w:r>
      <w:r w:rsidRPr="003B2AB8">
        <w:t>l for acceptable validity and reliability for the 2016 STAAR</w:t>
      </w:r>
      <w:r w:rsidR="00F37FDB">
        <w:t xml:space="preserve"> forms</w:t>
      </w:r>
      <w:r w:rsidR="003D118C" w:rsidRPr="003B2AB8">
        <w:t>, given the procedures used to build and score the tests.</w:t>
      </w:r>
      <w:r w:rsidRPr="003B2AB8">
        <w:t xml:space="preserve"> Fortunately, student achievement testing is built on a long history of discovering and </w:t>
      </w:r>
      <w:r w:rsidR="003D118C" w:rsidRPr="003B2AB8">
        <w:t xml:space="preserve">generating </w:t>
      </w:r>
      <w:r w:rsidRPr="003B2AB8">
        <w:t>processes that create validity and reliability</w:t>
      </w:r>
      <w:r w:rsidR="00381D0A" w:rsidRPr="003B2AB8">
        <w:t xml:space="preserve"> of assessment scores</w:t>
      </w:r>
      <w:r w:rsidRPr="003B2AB8">
        <w:t>. Thus, Task 3 focuses on judgments of the processes used to produce the 2016 suite of assessments.</w:t>
      </w:r>
    </w:p>
    <w:p w14:paraId="6D555405" w14:textId="77777777" w:rsidR="001C0BF1" w:rsidRPr="003B2AB8" w:rsidRDefault="001C0BF1" w:rsidP="001C0BF1">
      <w:pPr>
        <w:pStyle w:val="HBodyText"/>
      </w:pPr>
    </w:p>
    <w:p w14:paraId="7D852DFD" w14:textId="3EA71D84" w:rsidR="001C0BF1" w:rsidRPr="003B2AB8" w:rsidRDefault="001C0BF1" w:rsidP="001C0BF1">
      <w:pPr>
        <w:pStyle w:val="HBodyText"/>
      </w:pPr>
      <w:r w:rsidRPr="003B2AB8">
        <w:t>Second, the veracity of such judgments is based on the expertise and experience of those making the judg</w:t>
      </w:r>
      <w:r w:rsidR="003D118C" w:rsidRPr="003B2AB8">
        <w:t>ments. HumRRO believes that we were</w:t>
      </w:r>
      <w:r w:rsidRPr="003B2AB8">
        <w:t xml:space="preserve"> invited to conduct this review beca</w:t>
      </w:r>
      <w:r w:rsidR="003D118C" w:rsidRPr="003B2AB8">
        <w:t xml:space="preserve">use of the unique role that our </w:t>
      </w:r>
      <w:r w:rsidRPr="003B2AB8">
        <w:t>staff ha</w:t>
      </w:r>
      <w:r w:rsidR="00763F4C" w:rsidRPr="003B2AB8">
        <w:t>ve</w:t>
      </w:r>
      <w:r w:rsidRPr="003B2AB8">
        <w:t xml:space="preserve"> played over the last 20 years in the arena of state- and national-level student achievement testing. HumRRO has become nationally known for its services as a quality-assurance vendor conducting research studies and replicating psychometric processes.</w:t>
      </w:r>
    </w:p>
    <w:p w14:paraId="79422B95" w14:textId="77777777" w:rsidR="001C0BF1" w:rsidRPr="003B2AB8" w:rsidRDefault="001C0BF1" w:rsidP="001C0BF1">
      <w:pPr>
        <w:pStyle w:val="HBodyText"/>
      </w:pPr>
    </w:p>
    <w:p w14:paraId="7A8EE9E3" w14:textId="3BF585F2" w:rsidR="001C0BF1" w:rsidRPr="003B2AB8" w:rsidRDefault="001C0BF1" w:rsidP="001C0BF1">
      <w:pPr>
        <w:pStyle w:val="HBodyText"/>
      </w:pPr>
      <w:r w:rsidRPr="003B2AB8">
        <w:t>HumRRO began building a reputation for sound, impartial work for state assessments in 1996 when it acquired its first cont</w:t>
      </w:r>
      <w:r w:rsidR="004A6BA0" w:rsidRPr="003B2AB8">
        <w:t>r</w:t>
      </w:r>
      <w:r w:rsidRPr="003B2AB8">
        <w:t>act with the Department of Education for the Commonwealth of Kentucky. Over the course of twenty years</w:t>
      </w:r>
      <w:r w:rsidR="00381773" w:rsidRPr="003B2AB8">
        <w:t>,</w:t>
      </w:r>
      <w:r w:rsidRPr="003B2AB8">
        <w:t xml:space="preserve"> we have</w:t>
      </w:r>
      <w:r w:rsidR="00512B82" w:rsidRPr="003B2AB8">
        <w:t xml:space="preserve"> </w:t>
      </w:r>
      <w:r w:rsidRPr="003B2AB8">
        <w:t xml:space="preserve">conducted psychometric studies and analyses for California, Florida, Utah, Minnesota, North Dakota, Pennsylvania, Massachusetts, Oklahoma, </w:t>
      </w:r>
      <w:r w:rsidR="00961054" w:rsidRPr="003B2AB8">
        <w:t xml:space="preserve">Nevada, Indiana, </w:t>
      </w:r>
      <w:r w:rsidRPr="003B2AB8">
        <w:t>New York</w:t>
      </w:r>
      <w:r w:rsidR="001B33B7" w:rsidRPr="003B2AB8">
        <w:t>,</w:t>
      </w:r>
      <w:r w:rsidRPr="003B2AB8">
        <w:t xml:space="preserve"> </w:t>
      </w:r>
      <w:r w:rsidR="00DE2DA6" w:rsidRPr="003B2AB8">
        <w:t xml:space="preserve">the National Assessment of Education Progress (NAEP) </w:t>
      </w:r>
      <w:r w:rsidR="00961054" w:rsidRPr="003B2AB8">
        <w:t>and the Partnership for Assessment of Readiness for College and Care</w:t>
      </w:r>
      <w:r w:rsidR="00DE2DA6" w:rsidRPr="003B2AB8">
        <w:t>ers (PARCC) assessment consortium</w:t>
      </w:r>
      <w:r w:rsidR="00961054" w:rsidRPr="003B2AB8">
        <w:t>. HumRRO also conducted an intensive</w:t>
      </w:r>
      <w:r w:rsidRPr="003B2AB8">
        <w:t xml:space="preserve"> one-time review of the validity and reliability of Idaho’s assessment system. Additionally, HumRRO staff began conducting item content reviews for the National Research Council in the late 1990s with the Volunt</w:t>
      </w:r>
      <w:r w:rsidR="00961054" w:rsidRPr="003B2AB8">
        <w:t>ary</w:t>
      </w:r>
      <w:r w:rsidRPr="003B2AB8">
        <w:t xml:space="preserve"> Nat</w:t>
      </w:r>
      <w:r w:rsidR="00924928" w:rsidRPr="003B2AB8">
        <w:t>ional Test initiative, followed</w:t>
      </w:r>
      <w:r w:rsidR="004A6BA0" w:rsidRPr="003B2AB8">
        <w:t xml:space="preserve"> </w:t>
      </w:r>
      <w:r w:rsidRPr="003B2AB8">
        <w:t xml:space="preserve">by item reviews for California’s high school exit exam. Since then HumRRO has conducted alignment studies for </w:t>
      </w:r>
      <w:r w:rsidR="00961054" w:rsidRPr="003B2AB8">
        <w:t xml:space="preserve">California, </w:t>
      </w:r>
      <w:r w:rsidRPr="003B2AB8">
        <w:t>Missouri, Florida, Minnesota, Kentucky, Colorado,</w:t>
      </w:r>
      <w:r w:rsidR="002F6F8E" w:rsidRPr="003B2AB8">
        <w:t xml:space="preserve"> </w:t>
      </w:r>
      <w:r w:rsidR="00961054" w:rsidRPr="003B2AB8">
        <w:t>Tennessee,</w:t>
      </w:r>
      <w:r w:rsidR="001B33B7" w:rsidRPr="003B2AB8">
        <w:t xml:space="preserve"> </w:t>
      </w:r>
      <w:r w:rsidRPr="003B2AB8">
        <w:t>Georgia</w:t>
      </w:r>
      <w:r w:rsidR="00DE2DA6" w:rsidRPr="003B2AB8">
        <w:t>, the National Assessment Governing Board (NAGB) and the Smarter Balance assessment consortium</w:t>
      </w:r>
      <w:r w:rsidR="001B33B7" w:rsidRPr="003B2AB8">
        <w:t>.</w:t>
      </w:r>
      <w:r w:rsidR="00DE2DA6" w:rsidRPr="003B2AB8">
        <w:t xml:space="preserve"> </w:t>
      </w:r>
    </w:p>
    <w:p w14:paraId="57AFA5EB" w14:textId="77777777" w:rsidR="001C0BF1" w:rsidRPr="003B2AB8" w:rsidRDefault="001C0BF1" w:rsidP="001C0BF1">
      <w:pPr>
        <w:pStyle w:val="HBodyText"/>
      </w:pPr>
    </w:p>
    <w:p w14:paraId="087D1D56" w14:textId="46586DBA" w:rsidR="001C0BF1" w:rsidRPr="003B2AB8" w:rsidRDefault="001C0BF1" w:rsidP="001C0BF1">
      <w:pPr>
        <w:pStyle w:val="HBodyText"/>
      </w:pPr>
      <w:r w:rsidRPr="003B2AB8">
        <w:t>We indicated above that HumRRO has played a unique role</w:t>
      </w:r>
      <w:r w:rsidR="005366D2" w:rsidRPr="003B2AB8">
        <w:t xml:space="preserve"> in assessment</w:t>
      </w:r>
      <w:r w:rsidRPr="003B2AB8">
        <w:t>. We are not, however, a “major testing company” in the state testing arena in the sense that HumRRO has neither written test items nor constructed test forms for state</w:t>
      </w:r>
      <w:r w:rsidR="004A6BA0" w:rsidRPr="003B2AB8">
        <w:t xml:space="preserve"> </w:t>
      </w:r>
      <w:r w:rsidRPr="003B2AB8">
        <w:t>assessments.</w:t>
      </w:r>
      <w:r w:rsidRPr="003B2AB8">
        <w:rPr>
          <w:rStyle w:val="FootnoteReference"/>
        </w:rPr>
        <w:footnoteReference w:id="9"/>
      </w:r>
      <w:r w:rsidRPr="003B2AB8">
        <w:t xml:space="preserve"> Thus, for each of the state assessments that we have been involved with, HumRRO has been required to work with that state’s prime test vendor</w:t>
      </w:r>
      <w:r w:rsidR="001B33B7" w:rsidRPr="003B2AB8">
        <w:t>.</w:t>
      </w:r>
      <w:r w:rsidRPr="003B2AB8">
        <w:t xml:space="preserve"> The list of such vendors includes essentially all of the major state </w:t>
      </w:r>
      <w:r w:rsidR="001B33B7" w:rsidRPr="003B2AB8">
        <w:t>testing contractors</w:t>
      </w:r>
      <w:r w:rsidR="003B2EEC" w:rsidRPr="003B2AB8">
        <w:t>.</w:t>
      </w:r>
      <w:r w:rsidRPr="003B2AB8">
        <w:rPr>
          <w:rStyle w:val="FootnoteReference"/>
        </w:rPr>
        <w:footnoteReference w:id="10"/>
      </w:r>
      <w:r w:rsidRPr="003B2AB8">
        <w:t xml:space="preserve"> As a result, we have become </w:t>
      </w:r>
      <w:r w:rsidR="00924928" w:rsidRPr="003B2AB8">
        <w:t>very familiar with the processes</w:t>
      </w:r>
      <w:r w:rsidRPr="003B2AB8">
        <w:t xml:space="preserve"> used by the major vendors in educational testing.</w:t>
      </w:r>
    </w:p>
    <w:p w14:paraId="42DB3479" w14:textId="77777777" w:rsidR="001C0BF1" w:rsidRPr="003B2AB8" w:rsidRDefault="001C0BF1" w:rsidP="001C0BF1">
      <w:pPr>
        <w:pStyle w:val="HBodyText"/>
      </w:pPr>
    </w:p>
    <w:p w14:paraId="6E78E3B1" w14:textId="53CC653B" w:rsidR="001C0BF1" w:rsidRPr="003B2AB8" w:rsidRDefault="001C0BF1" w:rsidP="001C0BF1">
      <w:pPr>
        <w:pStyle w:val="HBodyText"/>
      </w:pPr>
      <w:r w:rsidRPr="003B2AB8">
        <w:t xml:space="preserve">Thus, </w:t>
      </w:r>
      <w:r w:rsidR="001B33B7" w:rsidRPr="003B2AB8">
        <w:t xml:space="preserve">the </w:t>
      </w:r>
      <w:r w:rsidRPr="003B2AB8">
        <w:t>HumRRO staff assigned to Task 3 provides Texas with an excellent technical and practical foundation from which to judge the strengths and weakness of the processes for creating validity and reliability for STAAR</w:t>
      </w:r>
      <w:r w:rsidR="009810FF">
        <w:t xml:space="preserve"> scores</w:t>
      </w:r>
      <w:r w:rsidRPr="003B2AB8">
        <w:t xml:space="preserve">. Note that while our technical expertise and experience will be used to structure our conclusions, the intent of this report is to present those conclusions so that they are accessible to a wide audience. </w:t>
      </w:r>
    </w:p>
    <w:p w14:paraId="2EC3E00F" w14:textId="77777777" w:rsidR="001C0BF1" w:rsidRPr="003B2AB8" w:rsidRDefault="001C0BF1" w:rsidP="001C0BF1">
      <w:pPr>
        <w:pStyle w:val="HBodyText"/>
      </w:pPr>
    </w:p>
    <w:p w14:paraId="2B776283" w14:textId="77777777" w:rsidR="001C0BF1" w:rsidRPr="003B2AB8" w:rsidRDefault="001C0BF1" w:rsidP="00DF2682">
      <w:pPr>
        <w:pStyle w:val="HLevel2"/>
        <w:rPr>
          <w:noProof w:val="0"/>
        </w:rPr>
      </w:pPr>
      <w:bookmarkStart w:id="29" w:name="_Toc446343625"/>
      <w:r w:rsidRPr="003B2AB8">
        <w:rPr>
          <w:noProof w:val="0"/>
        </w:rPr>
        <w:t xml:space="preserve">Basic </w:t>
      </w:r>
      <w:r w:rsidR="00B0084C" w:rsidRPr="003B2AB8">
        <w:rPr>
          <w:noProof w:val="0"/>
        </w:rPr>
        <w:t>S</w:t>
      </w:r>
      <w:r w:rsidRPr="003B2AB8">
        <w:rPr>
          <w:noProof w:val="0"/>
        </w:rPr>
        <w:t xml:space="preserve">core </w:t>
      </w:r>
      <w:r w:rsidR="00B0084C" w:rsidRPr="003B2AB8">
        <w:rPr>
          <w:noProof w:val="0"/>
        </w:rPr>
        <w:t>B</w:t>
      </w:r>
      <w:r w:rsidRPr="003B2AB8">
        <w:rPr>
          <w:noProof w:val="0"/>
        </w:rPr>
        <w:t xml:space="preserve">uilding </w:t>
      </w:r>
      <w:r w:rsidR="00B0084C" w:rsidRPr="003B2AB8">
        <w:rPr>
          <w:noProof w:val="0"/>
        </w:rPr>
        <w:t>P</w:t>
      </w:r>
      <w:r w:rsidRPr="003B2AB8">
        <w:rPr>
          <w:noProof w:val="0"/>
        </w:rPr>
        <w:t>rocesses</w:t>
      </w:r>
      <w:bookmarkEnd w:id="29"/>
    </w:p>
    <w:p w14:paraId="1E0B04DF" w14:textId="5A80E86B" w:rsidR="001C0BF1" w:rsidRPr="003B2AB8" w:rsidRDefault="001C0BF1" w:rsidP="001C0BF1">
      <w:pPr>
        <w:pStyle w:val="HBodyText"/>
      </w:pPr>
      <w:r w:rsidRPr="003B2AB8">
        <w:t xml:space="preserve">We began our delineation of the processes we </w:t>
      </w:r>
      <w:r w:rsidR="001B33B7" w:rsidRPr="003B2AB8">
        <w:t>reviewed</w:t>
      </w:r>
      <w:r w:rsidRPr="003B2AB8">
        <w:t xml:space="preserve"> by first noting that because our focus is on test scores and test score interpretations, our review considers the proces</w:t>
      </w:r>
      <w:r w:rsidR="00CA3DFE" w:rsidRPr="003B2AB8">
        <w:t>ses used to create, administer</w:t>
      </w:r>
      <w:r w:rsidRPr="003B2AB8">
        <w:t xml:space="preserve">, and score </w:t>
      </w:r>
      <w:r w:rsidR="004A6BA0" w:rsidRPr="003B2AB8">
        <w:t>STAAR</w:t>
      </w:r>
      <w:r w:rsidRPr="003B2AB8">
        <w:t xml:space="preserve">. The focus of our review is not on tests </w:t>
      </w:r>
      <w:r w:rsidRPr="003B2AB8">
        <w:rPr>
          <w:i/>
        </w:rPr>
        <w:t>per se</w:t>
      </w:r>
      <w:r w:rsidRPr="003B2AB8">
        <w:t xml:space="preserve">, but on test scores and test score uses. There are a number of important processes that must occur between </w:t>
      </w:r>
      <w:r w:rsidRPr="003B2AB8">
        <w:rPr>
          <w:i/>
        </w:rPr>
        <w:t xml:space="preserve">having a test </w:t>
      </w:r>
      <w:r w:rsidRPr="003B2AB8">
        <w:t xml:space="preserve">and </w:t>
      </w:r>
      <w:r w:rsidRPr="003B2AB8">
        <w:rPr>
          <w:i/>
        </w:rPr>
        <w:t xml:space="preserve">having a test score </w:t>
      </w:r>
      <w:r w:rsidR="00601FDB" w:rsidRPr="003B2AB8">
        <w:rPr>
          <w:i/>
        </w:rPr>
        <w:t xml:space="preserve">that is </w:t>
      </w:r>
      <w:r w:rsidRPr="003B2AB8">
        <w:rPr>
          <w:i/>
        </w:rPr>
        <w:t>valid for a particular purpose</w:t>
      </w:r>
      <w:r w:rsidRPr="003B2AB8">
        <w:t>.</w:t>
      </w:r>
    </w:p>
    <w:p w14:paraId="27C6AB37" w14:textId="77777777" w:rsidR="001C0BF1" w:rsidRPr="003B2AB8" w:rsidRDefault="001C0BF1" w:rsidP="001C0BF1">
      <w:pPr>
        <w:pStyle w:val="HBodyText"/>
      </w:pPr>
    </w:p>
    <w:p w14:paraId="0BA32C68" w14:textId="77777777" w:rsidR="001C0BF1" w:rsidRPr="003B2AB8" w:rsidRDefault="001C0BF1" w:rsidP="001C0BF1">
      <w:pPr>
        <w:pStyle w:val="HBodyText"/>
      </w:pPr>
      <w:r w:rsidRPr="003B2AB8">
        <w:t>Briefly, we examined documentation of the following processes, clustered into</w:t>
      </w:r>
      <w:r w:rsidR="001B33B7" w:rsidRPr="003B2AB8">
        <w:t xml:space="preserve"> the five</w:t>
      </w:r>
      <w:r w:rsidRPr="003B2AB8">
        <w:t xml:space="preserve"> major categories that lead to meaningful STAAR </w:t>
      </w:r>
      <w:r w:rsidR="001B33B7" w:rsidRPr="003B2AB8">
        <w:t>on-grade s</w:t>
      </w:r>
      <w:r w:rsidRPr="003B2AB8">
        <w:t>cores</w:t>
      </w:r>
      <w:r w:rsidR="001B33B7" w:rsidRPr="003B2AB8">
        <w:t>,</w:t>
      </w:r>
      <w:r w:rsidRPr="003B2AB8">
        <w:t xml:space="preserve"> which are to be used to compare knowledge and skill achievements of students</w:t>
      </w:r>
      <w:r w:rsidR="001B33B7" w:rsidRPr="003B2AB8">
        <w:t xml:space="preserve"> for a given grade/subject.</w:t>
      </w:r>
    </w:p>
    <w:p w14:paraId="0DEB59F1" w14:textId="77777777" w:rsidR="001C0BF1" w:rsidRPr="003B2AB8" w:rsidRDefault="001C0BF1" w:rsidP="00712A09">
      <w:pPr>
        <w:pStyle w:val="HBodyText"/>
        <w:numPr>
          <w:ilvl w:val="0"/>
          <w:numId w:val="35"/>
        </w:numPr>
        <w:spacing w:before="120"/>
        <w:ind w:left="1080"/>
      </w:pPr>
      <w:r w:rsidRPr="003B2AB8">
        <w:t>I</w:t>
      </w:r>
      <w:r w:rsidR="00CA3DFE" w:rsidRPr="003B2AB8">
        <w:t>dentify test content</w:t>
      </w:r>
    </w:p>
    <w:p w14:paraId="18E622F5" w14:textId="77777777" w:rsidR="001C0BF1" w:rsidRPr="003B2AB8" w:rsidRDefault="001C0BF1" w:rsidP="00712A09">
      <w:pPr>
        <w:pStyle w:val="HBodyText"/>
        <w:numPr>
          <w:ilvl w:val="1"/>
          <w:numId w:val="35"/>
        </w:numPr>
        <w:tabs>
          <w:tab w:val="left" w:pos="1800"/>
        </w:tabs>
        <w:spacing w:before="120"/>
        <w:ind w:left="1800" w:hanging="540"/>
      </w:pPr>
      <w:r w:rsidRPr="003B2AB8">
        <w:t>Determine the curriculum domain via content standards</w:t>
      </w:r>
    </w:p>
    <w:p w14:paraId="4FD7D184" w14:textId="77777777" w:rsidR="001C0BF1" w:rsidRPr="003B2AB8" w:rsidRDefault="001C0BF1" w:rsidP="00712A09">
      <w:pPr>
        <w:pStyle w:val="HBodyText"/>
        <w:numPr>
          <w:ilvl w:val="1"/>
          <w:numId w:val="35"/>
        </w:numPr>
        <w:tabs>
          <w:tab w:val="left" w:pos="1800"/>
        </w:tabs>
        <w:spacing w:before="120"/>
        <w:ind w:left="1800" w:hanging="540"/>
      </w:pPr>
      <w:r w:rsidRPr="003B2AB8">
        <w:t>Refine the curriculum domain to a testable domain and identify reportable categories from the content standards</w:t>
      </w:r>
    </w:p>
    <w:p w14:paraId="258D9DDB" w14:textId="77777777" w:rsidR="001C0BF1" w:rsidRPr="003B2AB8" w:rsidRDefault="001C0BF1" w:rsidP="00712A09">
      <w:pPr>
        <w:pStyle w:val="HBodyText"/>
        <w:numPr>
          <w:ilvl w:val="1"/>
          <w:numId w:val="35"/>
        </w:numPr>
        <w:tabs>
          <w:tab w:val="left" w:pos="1800"/>
        </w:tabs>
        <w:spacing w:before="120"/>
        <w:ind w:left="1800" w:hanging="540"/>
      </w:pPr>
      <w:r w:rsidRPr="003B2AB8">
        <w:t>Create test blueprints defining percentages of items for each reportable category for the test domain</w:t>
      </w:r>
    </w:p>
    <w:p w14:paraId="44ED996C" w14:textId="77777777" w:rsidR="001C0BF1" w:rsidRPr="003B2AB8" w:rsidRDefault="001C0BF1" w:rsidP="00712A09">
      <w:pPr>
        <w:pStyle w:val="HBodyText"/>
        <w:numPr>
          <w:ilvl w:val="0"/>
          <w:numId w:val="35"/>
        </w:numPr>
        <w:spacing w:before="120"/>
        <w:ind w:left="1080"/>
      </w:pPr>
      <w:r w:rsidRPr="003B2AB8">
        <w:t>Prepare test item</w:t>
      </w:r>
      <w:r w:rsidR="00CA3DFE" w:rsidRPr="003B2AB8">
        <w:t>s</w:t>
      </w:r>
    </w:p>
    <w:p w14:paraId="6A23AD48" w14:textId="77777777" w:rsidR="001C0BF1" w:rsidRPr="003B2AB8" w:rsidRDefault="001C0BF1" w:rsidP="00712A09">
      <w:pPr>
        <w:pStyle w:val="HBodyText"/>
        <w:numPr>
          <w:ilvl w:val="1"/>
          <w:numId w:val="35"/>
        </w:numPr>
        <w:spacing w:before="120"/>
        <w:ind w:left="1800" w:hanging="540"/>
      </w:pPr>
      <w:r w:rsidRPr="003B2AB8">
        <w:t>Write items</w:t>
      </w:r>
    </w:p>
    <w:p w14:paraId="75BB9651" w14:textId="77777777" w:rsidR="001C0BF1" w:rsidRPr="003B2AB8" w:rsidRDefault="001C0BF1" w:rsidP="00712A09">
      <w:pPr>
        <w:pStyle w:val="HBodyText"/>
        <w:numPr>
          <w:ilvl w:val="1"/>
          <w:numId w:val="35"/>
        </w:numPr>
        <w:spacing w:before="120"/>
        <w:ind w:left="1800" w:hanging="540"/>
      </w:pPr>
      <w:r w:rsidRPr="003B2AB8">
        <w:t>Conduct expert item reviews for content, bias, and sensitivity</w:t>
      </w:r>
    </w:p>
    <w:p w14:paraId="3882A899" w14:textId="77777777" w:rsidR="001C0BF1" w:rsidRPr="003B2AB8" w:rsidRDefault="001C0BF1" w:rsidP="00712A09">
      <w:pPr>
        <w:pStyle w:val="HBodyText"/>
        <w:numPr>
          <w:ilvl w:val="1"/>
          <w:numId w:val="35"/>
        </w:numPr>
        <w:spacing w:before="120"/>
        <w:ind w:left="1800" w:hanging="540"/>
      </w:pPr>
      <w:r w:rsidRPr="003B2AB8">
        <w:t>Conduct item field tests and statistical item analyses</w:t>
      </w:r>
    </w:p>
    <w:p w14:paraId="078AC323" w14:textId="77777777" w:rsidR="001C0BF1" w:rsidRPr="003B2AB8" w:rsidRDefault="001C0BF1" w:rsidP="00712A09">
      <w:pPr>
        <w:pStyle w:val="HBodyText"/>
        <w:numPr>
          <w:ilvl w:val="0"/>
          <w:numId w:val="35"/>
        </w:numPr>
        <w:spacing w:before="120"/>
        <w:ind w:left="1080"/>
      </w:pPr>
      <w:r w:rsidRPr="003B2AB8">
        <w:t>Construct test forms</w:t>
      </w:r>
    </w:p>
    <w:p w14:paraId="716CC91D" w14:textId="77777777" w:rsidR="001C0BF1" w:rsidRPr="003B2AB8" w:rsidRDefault="001C0BF1" w:rsidP="00712A09">
      <w:pPr>
        <w:pStyle w:val="HBodyText"/>
        <w:numPr>
          <w:ilvl w:val="1"/>
          <w:numId w:val="35"/>
        </w:numPr>
        <w:spacing w:before="120"/>
        <w:ind w:left="1800" w:hanging="540"/>
      </w:pPr>
      <w:r w:rsidRPr="003B2AB8">
        <w:t>Build content coverage into test forms</w:t>
      </w:r>
    </w:p>
    <w:p w14:paraId="756C4E99" w14:textId="77777777" w:rsidR="001C0BF1" w:rsidRPr="003B2AB8" w:rsidRDefault="001C0BF1" w:rsidP="00712A09">
      <w:pPr>
        <w:pStyle w:val="HBodyText"/>
        <w:numPr>
          <w:ilvl w:val="1"/>
          <w:numId w:val="35"/>
        </w:numPr>
        <w:spacing w:before="120"/>
        <w:ind w:left="1800" w:hanging="540"/>
      </w:pPr>
      <w:r w:rsidRPr="003B2AB8">
        <w:t>Build reliability expectations into test forms</w:t>
      </w:r>
    </w:p>
    <w:p w14:paraId="57104788" w14:textId="77777777" w:rsidR="001C0BF1" w:rsidRPr="003B2AB8" w:rsidRDefault="001C0BF1" w:rsidP="00712A09">
      <w:pPr>
        <w:pStyle w:val="HBodyText"/>
        <w:numPr>
          <w:ilvl w:val="0"/>
          <w:numId w:val="35"/>
        </w:numPr>
        <w:spacing w:before="120"/>
        <w:ind w:left="1080"/>
      </w:pPr>
      <w:r w:rsidRPr="003B2AB8">
        <w:t>Administer Tests</w:t>
      </w:r>
    </w:p>
    <w:p w14:paraId="2695014D" w14:textId="77777777" w:rsidR="001C0BF1" w:rsidRPr="003B2AB8" w:rsidRDefault="001C0BF1" w:rsidP="00712A09">
      <w:pPr>
        <w:pStyle w:val="HBodyText"/>
        <w:numPr>
          <w:ilvl w:val="0"/>
          <w:numId w:val="35"/>
        </w:numPr>
        <w:spacing w:before="120"/>
        <w:ind w:left="1080"/>
      </w:pPr>
      <w:r w:rsidRPr="003B2AB8">
        <w:t>Create test scores</w:t>
      </w:r>
    </w:p>
    <w:p w14:paraId="3D5FB918" w14:textId="77777777" w:rsidR="001C0BF1" w:rsidRPr="003B2AB8" w:rsidRDefault="001C0BF1" w:rsidP="00712A09">
      <w:pPr>
        <w:pStyle w:val="HBodyText"/>
        <w:numPr>
          <w:ilvl w:val="1"/>
          <w:numId w:val="35"/>
        </w:numPr>
        <w:spacing w:before="120"/>
        <w:ind w:left="1800" w:hanging="540"/>
      </w:pPr>
      <w:r w:rsidRPr="003B2AB8">
        <w:t>Conduct statistical item reviews for operational</w:t>
      </w:r>
      <w:r w:rsidR="00381D0A" w:rsidRPr="003B2AB8">
        <w:t xml:space="preserve"> items</w:t>
      </w:r>
    </w:p>
    <w:p w14:paraId="1C4CAA8F" w14:textId="77777777" w:rsidR="001C0BF1" w:rsidRPr="003B2AB8" w:rsidRDefault="001C0BF1" w:rsidP="00712A09">
      <w:pPr>
        <w:pStyle w:val="HBodyText"/>
        <w:numPr>
          <w:ilvl w:val="1"/>
          <w:numId w:val="35"/>
        </w:numPr>
        <w:spacing w:before="120"/>
        <w:ind w:left="1800" w:hanging="540"/>
      </w:pPr>
      <w:r w:rsidRPr="003B2AB8">
        <w:t>Equate to synchronize scores across year</w:t>
      </w:r>
    </w:p>
    <w:p w14:paraId="4437E573" w14:textId="77777777" w:rsidR="001C0BF1" w:rsidRPr="003B2AB8" w:rsidRDefault="001C0BF1" w:rsidP="00712A09">
      <w:pPr>
        <w:pStyle w:val="HBodyText"/>
        <w:numPr>
          <w:ilvl w:val="1"/>
          <w:numId w:val="35"/>
        </w:numPr>
        <w:spacing w:before="120"/>
        <w:ind w:left="1800" w:hanging="540"/>
      </w:pPr>
      <w:r w:rsidRPr="003B2AB8">
        <w:t xml:space="preserve">Produce </w:t>
      </w:r>
      <w:r w:rsidR="00381D0A" w:rsidRPr="003B2AB8">
        <w:t>STAAR</w:t>
      </w:r>
      <w:r w:rsidRPr="003B2AB8">
        <w:t xml:space="preserve"> scores </w:t>
      </w:r>
    </w:p>
    <w:p w14:paraId="2F6A3AC7" w14:textId="77777777" w:rsidR="001C0BF1" w:rsidRPr="003B2AB8" w:rsidRDefault="001C0BF1" w:rsidP="00712A09">
      <w:pPr>
        <w:pStyle w:val="HBodyText"/>
        <w:numPr>
          <w:ilvl w:val="1"/>
          <w:numId w:val="35"/>
        </w:numPr>
        <w:spacing w:before="120"/>
        <w:ind w:left="1800" w:hanging="540"/>
      </w:pPr>
      <w:r w:rsidRPr="003B2AB8">
        <w:t>Produce test form reliability statistics</w:t>
      </w:r>
    </w:p>
    <w:p w14:paraId="195DC182" w14:textId="77777777" w:rsidR="001C0BF1" w:rsidRPr="003B2AB8" w:rsidRDefault="001C0BF1" w:rsidP="001C0BF1">
      <w:pPr>
        <w:pStyle w:val="HBodyText"/>
      </w:pPr>
    </w:p>
    <w:p w14:paraId="3CD54A34" w14:textId="1E61434A" w:rsidR="001C0BF1" w:rsidRPr="003B2AB8" w:rsidRDefault="001C0BF1" w:rsidP="001C0BF1">
      <w:pPr>
        <w:pStyle w:val="HBodyText"/>
      </w:pPr>
      <w:r w:rsidRPr="003B2AB8">
        <w:t>Each of these processes was evaluated for it</w:t>
      </w:r>
      <w:r w:rsidR="00466AB5" w:rsidRPr="003B2AB8">
        <w:t>s</w:t>
      </w:r>
      <w:r w:rsidRPr="003B2AB8">
        <w:t xml:space="preserve"> strength</w:t>
      </w:r>
      <w:r w:rsidR="00466AB5" w:rsidRPr="003B2AB8">
        <w:t>s</w:t>
      </w:r>
      <w:r w:rsidRPr="003B2AB8">
        <w:t xml:space="preserve"> in achieving </w:t>
      </w:r>
      <w:r w:rsidR="001B33B7" w:rsidRPr="003B2AB8">
        <w:t>on-grade</w:t>
      </w:r>
      <w:r w:rsidRPr="003B2AB8">
        <w:t xml:space="preserve"> </w:t>
      </w:r>
      <w:r w:rsidR="001B33B7" w:rsidRPr="003B2AB8">
        <w:t xml:space="preserve">student </w:t>
      </w:r>
      <w:r w:rsidRPr="003B2AB8">
        <w:t>score</w:t>
      </w:r>
      <w:r w:rsidR="001B33B7" w:rsidRPr="003B2AB8">
        <w:t xml:space="preserve">s, which is </w:t>
      </w:r>
      <w:r w:rsidR="001B33B7" w:rsidRPr="003B2AB8">
        <w:rPr>
          <w:szCs w:val="22"/>
        </w:rPr>
        <w:t xml:space="preserve">intended to represent what a student knows and can </w:t>
      </w:r>
      <w:r w:rsidR="00466AB5" w:rsidRPr="003B2AB8">
        <w:rPr>
          <w:szCs w:val="22"/>
        </w:rPr>
        <w:t xml:space="preserve">do </w:t>
      </w:r>
      <w:r w:rsidR="001B33B7" w:rsidRPr="003B2AB8">
        <w:rPr>
          <w:szCs w:val="22"/>
        </w:rPr>
        <w:t xml:space="preserve">for a specific grade and subject. </w:t>
      </w:r>
      <w:r w:rsidR="00852352" w:rsidRPr="003B2AB8">
        <w:t>Our</w:t>
      </w:r>
      <w:r w:rsidRPr="003B2AB8">
        <w:t xml:space="preserve"> review was based on</w:t>
      </w:r>
      <w:r w:rsidR="001B33B7" w:rsidRPr="003B2AB8">
        <w:t>:</w:t>
      </w:r>
    </w:p>
    <w:p w14:paraId="5D8C8CA6" w14:textId="77777777" w:rsidR="001C0BF1" w:rsidRPr="003B2AB8" w:rsidRDefault="001C0BF1" w:rsidP="00B0084C">
      <w:pPr>
        <w:pStyle w:val="HBullets"/>
        <w:rPr>
          <w:lang w:val="en-US"/>
        </w:rPr>
      </w:pPr>
      <w:r w:rsidRPr="003B2AB8">
        <w:rPr>
          <w:lang w:val="en-US"/>
        </w:rPr>
        <w:t>The 2014</w:t>
      </w:r>
      <w:r w:rsidR="00381D0A" w:rsidRPr="003B2AB8">
        <w:rPr>
          <w:lang w:val="en-US"/>
        </w:rPr>
        <w:t>-2015</w:t>
      </w:r>
      <w:r w:rsidRPr="003B2AB8">
        <w:rPr>
          <w:lang w:val="en-US"/>
        </w:rPr>
        <w:t xml:space="preserve"> Technical Digest, primarily Chapter</w:t>
      </w:r>
      <w:r w:rsidR="003B2EEC" w:rsidRPr="003B2AB8">
        <w:rPr>
          <w:lang w:val="en-US"/>
        </w:rPr>
        <w:t>s</w:t>
      </w:r>
      <w:r w:rsidRPr="003B2AB8">
        <w:rPr>
          <w:lang w:val="en-US"/>
        </w:rPr>
        <w:t xml:space="preserve"> 2, 3, and 4</w:t>
      </w:r>
      <w:r w:rsidRPr="003B2AB8">
        <w:rPr>
          <w:rStyle w:val="FootnoteReference"/>
          <w:lang w:val="en-US"/>
        </w:rPr>
        <w:footnoteReference w:id="11"/>
      </w:r>
      <w:r w:rsidR="002C4A15" w:rsidRPr="003B2AB8">
        <w:rPr>
          <w:lang w:val="en-US"/>
        </w:rPr>
        <w:t xml:space="preserve"> </w:t>
      </w:r>
    </w:p>
    <w:p w14:paraId="73FC9B63" w14:textId="77777777" w:rsidR="001C0BF1" w:rsidRPr="003B2AB8" w:rsidRDefault="001C0BF1" w:rsidP="00B0084C">
      <w:pPr>
        <w:pStyle w:val="HBullets"/>
        <w:rPr>
          <w:lang w:val="en-US"/>
        </w:rPr>
      </w:pPr>
      <w:r w:rsidRPr="003B2AB8">
        <w:rPr>
          <w:lang w:val="en-US"/>
        </w:rPr>
        <w:t>Standard Setting Technical Report, March 15, 2013</w:t>
      </w:r>
      <w:r w:rsidRPr="003B2AB8">
        <w:rPr>
          <w:rStyle w:val="FootnoteReference"/>
          <w:lang w:val="en-US"/>
        </w:rPr>
        <w:footnoteReference w:id="12"/>
      </w:r>
    </w:p>
    <w:p w14:paraId="3CE21210" w14:textId="77777777" w:rsidR="001C0BF1" w:rsidRPr="003B2AB8" w:rsidRDefault="001C0BF1" w:rsidP="00B0084C">
      <w:pPr>
        <w:pStyle w:val="HBullets"/>
        <w:rPr>
          <w:lang w:val="en-US"/>
        </w:rPr>
      </w:pPr>
      <w:r w:rsidRPr="003B2AB8">
        <w:rPr>
          <w:lang w:val="en-US"/>
        </w:rPr>
        <w:t xml:space="preserve">2015 Chapter 13 </w:t>
      </w:r>
      <w:r w:rsidR="00A25851" w:rsidRPr="003B2AB8">
        <w:rPr>
          <w:lang w:val="en-US"/>
        </w:rPr>
        <w:t>Math</w:t>
      </w:r>
      <w:r w:rsidRPr="003B2AB8">
        <w:rPr>
          <w:lang w:val="en-US"/>
        </w:rPr>
        <w:t xml:space="preserve"> Standard Setting Report</w:t>
      </w:r>
      <w:r w:rsidRPr="003B2AB8">
        <w:rPr>
          <w:rStyle w:val="FootnoteReference"/>
          <w:lang w:val="en-US"/>
        </w:rPr>
        <w:footnoteReference w:id="13"/>
      </w:r>
    </w:p>
    <w:p w14:paraId="47DBB545" w14:textId="77777777" w:rsidR="001C0BF1" w:rsidRPr="003B2AB8" w:rsidRDefault="001C0BF1" w:rsidP="001C0BF1">
      <w:pPr>
        <w:pStyle w:val="HBodyText"/>
      </w:pPr>
    </w:p>
    <w:p w14:paraId="52C60084" w14:textId="23D8F9A8" w:rsidR="001C0BF1" w:rsidRPr="003B2AB8" w:rsidRDefault="001C0BF1" w:rsidP="001C0BF1">
      <w:pPr>
        <w:pStyle w:val="HBodyText"/>
      </w:pPr>
      <w:r w:rsidRPr="003B2AB8">
        <w:t>These documents contained references to other on-line documentation, which we also reviewed when relevant to the topics of validity and reliability</w:t>
      </w:r>
      <w:r w:rsidR="00610499" w:rsidRPr="003B2AB8">
        <w:t xml:space="preserve">. Additionally, when we could not find documentation for a specific topic area on-line, we discussed the topic with TEA and they either provided HumRRO with documents that are not publicly available or they described the process used for the particular topic area. </w:t>
      </w:r>
    </w:p>
    <w:p w14:paraId="110EA9BD" w14:textId="77777777" w:rsidR="001C0BF1" w:rsidRPr="003B2AB8" w:rsidRDefault="001C0BF1" w:rsidP="001C0BF1">
      <w:pPr>
        <w:pStyle w:val="HBodyText"/>
      </w:pPr>
    </w:p>
    <w:p w14:paraId="55DB1F69" w14:textId="77777777" w:rsidR="00512B82" w:rsidRPr="003B2AB8" w:rsidRDefault="00512B82" w:rsidP="00512B82">
      <w:pPr>
        <w:pStyle w:val="HLevel3"/>
        <w:rPr>
          <w:noProof w:val="0"/>
        </w:rPr>
      </w:pPr>
      <w:bookmarkStart w:id="30" w:name="_Toc446343626"/>
      <w:r w:rsidRPr="003B2AB8">
        <w:rPr>
          <w:noProof w:val="0"/>
        </w:rPr>
        <w:t>1. Identify Test Content</w:t>
      </w:r>
      <w:bookmarkEnd w:id="30"/>
    </w:p>
    <w:p w14:paraId="5250EFE9" w14:textId="7B379D3D" w:rsidR="00B23B88" w:rsidRPr="003B2AB8" w:rsidRDefault="00B23B88" w:rsidP="00B23B88">
      <w:pPr>
        <w:pStyle w:val="HBodyText"/>
      </w:pPr>
      <w:r w:rsidRPr="003B2AB8">
        <w:t xml:space="preserve">The STAAR grade/subject </w:t>
      </w:r>
      <w:r w:rsidR="000D0E2B" w:rsidRPr="003B2AB8">
        <w:t>tests</w:t>
      </w:r>
      <w:r w:rsidRPr="003B2AB8">
        <w:t xml:space="preserve"> </w:t>
      </w:r>
      <w:r w:rsidRPr="003B2AB8">
        <w:rPr>
          <w:szCs w:val="22"/>
        </w:rPr>
        <w:t>are intended to</w:t>
      </w:r>
      <w:r w:rsidRPr="003B2AB8">
        <w:t xml:space="preserve"> measure the critical knowledge and skills specific for a grade and subject. </w:t>
      </w:r>
      <w:r w:rsidR="000D0E2B" w:rsidRPr="003B2AB8">
        <w:t xml:space="preserve">The validity evidence associated with the extent to which assessment scores represent students’ </w:t>
      </w:r>
      <w:r w:rsidR="00613425">
        <w:t>understand</w:t>
      </w:r>
      <w:r w:rsidR="000D0E2B" w:rsidRPr="003B2AB8">
        <w:t xml:space="preserve"> of the critical knowledge and skills starts with a clear </w:t>
      </w:r>
      <w:r w:rsidR="00613425">
        <w:t xml:space="preserve">specifications </w:t>
      </w:r>
      <w:r w:rsidR="000D0E2B" w:rsidRPr="003B2AB8">
        <w:t>of what content should be tested. This is a three</w:t>
      </w:r>
      <w:r w:rsidR="00381773" w:rsidRPr="003B2AB8">
        <w:t>-</w:t>
      </w:r>
      <w:r w:rsidR="000D0E2B" w:rsidRPr="003B2AB8">
        <w:t xml:space="preserve">part process that includes determining content standards, deciding which of these standards should be tested and, finally, determining what proportion of the test should cover each testable standard. </w:t>
      </w:r>
    </w:p>
    <w:p w14:paraId="0610A5A6" w14:textId="77777777" w:rsidR="00926760" w:rsidRPr="003B2AB8" w:rsidRDefault="00926760" w:rsidP="00512B82">
      <w:pPr>
        <w:pStyle w:val="HBodyText"/>
      </w:pPr>
    </w:p>
    <w:p w14:paraId="47AF8947" w14:textId="77777777" w:rsidR="001C0BF1" w:rsidRPr="003B2AB8" w:rsidRDefault="001C0BF1" w:rsidP="00512B82">
      <w:pPr>
        <w:pStyle w:val="HLevel4"/>
        <w:rPr>
          <w:lang w:val="en-US"/>
        </w:rPr>
      </w:pPr>
      <w:r w:rsidRPr="003B2AB8">
        <w:rPr>
          <w:lang w:val="en-US"/>
        </w:rPr>
        <w:t>1.1</w:t>
      </w:r>
      <w:r w:rsidR="00B86B9C" w:rsidRPr="003B2AB8">
        <w:rPr>
          <w:lang w:val="en-US"/>
        </w:rPr>
        <w:t>.</w:t>
      </w:r>
      <w:r w:rsidRPr="003B2AB8">
        <w:rPr>
          <w:lang w:val="en-US"/>
        </w:rPr>
        <w:t xml:space="preserve"> Determine </w:t>
      </w:r>
      <w:r w:rsidR="003B2EEC" w:rsidRPr="003B2AB8">
        <w:rPr>
          <w:lang w:val="en-US"/>
        </w:rPr>
        <w:t>c</w:t>
      </w:r>
      <w:r w:rsidRPr="003B2AB8">
        <w:rPr>
          <w:lang w:val="en-US"/>
        </w:rPr>
        <w:t xml:space="preserve">ontent </w:t>
      </w:r>
      <w:r w:rsidR="003B2EEC" w:rsidRPr="003B2AB8">
        <w:rPr>
          <w:lang w:val="en-US"/>
        </w:rPr>
        <w:t>s</w:t>
      </w:r>
      <w:r w:rsidRPr="003B2AB8">
        <w:rPr>
          <w:lang w:val="en-US"/>
        </w:rPr>
        <w:t>tandards</w:t>
      </w:r>
      <w:r w:rsidR="003B2EEC" w:rsidRPr="003B2AB8">
        <w:rPr>
          <w:lang w:val="en-US"/>
        </w:rPr>
        <w:t>.</w:t>
      </w:r>
    </w:p>
    <w:p w14:paraId="34323692" w14:textId="76AA95E4" w:rsidR="001C0BF1" w:rsidRPr="003B2AB8" w:rsidRDefault="00FA50C5" w:rsidP="001C0BF1">
      <w:pPr>
        <w:pStyle w:val="HBodyText"/>
      </w:pPr>
      <w:r w:rsidRPr="003B2AB8">
        <w:t>Content standards provide</w:t>
      </w:r>
      <w:r w:rsidR="001C0BF1" w:rsidRPr="003B2AB8">
        <w:t xml:space="preserve"> the foundation for score meaning by clearly and completely defining the knowledge and skills that students are to obtain for each grade/subject. For much of the history of </w:t>
      </w:r>
      <w:r w:rsidR="00852352" w:rsidRPr="003B2AB8">
        <w:t>statewide</w:t>
      </w:r>
      <w:r w:rsidR="001C0BF1" w:rsidRPr="003B2AB8">
        <w:t xml:space="preserve"> testing, grade level content standards were essentially created independently for each grade. While we have known of states adjusting their standards to connect topics from one grade to another, Texas, from the outset, took the position that content standards should flow in a logical manner from one grade to the next. That is, content for any give</w:t>
      </w:r>
      <w:r w:rsidR="00466AB5" w:rsidRPr="003B2AB8">
        <w:t>n</w:t>
      </w:r>
      <w:r w:rsidR="001C0BF1" w:rsidRPr="003B2AB8">
        <w:t xml:space="preserve"> grade is not </w:t>
      </w:r>
      <w:r w:rsidR="00852352" w:rsidRPr="003B2AB8">
        <w:t xml:space="preserve">just </w:t>
      </w:r>
      <w:r w:rsidR="001C0BF1" w:rsidRPr="003B2AB8">
        <w:t xml:space="preserve">important by itself. Rather it is </w:t>
      </w:r>
      <w:r w:rsidR="00852352" w:rsidRPr="003B2AB8">
        <w:t xml:space="preserve">also </w:t>
      </w:r>
      <w:r w:rsidR="001C0BF1" w:rsidRPr="003B2AB8">
        <w:t xml:space="preserve">important in terms of how it prepares students to learn content standards for the following grade. Thus, Texas began by identifying end-of-course (EOC) objectives that support college and career readiness. From there, prerequisite knowledge and skills were determined grade by grade down to grade 3 for each of the STAAR subjects. </w:t>
      </w:r>
      <w:r w:rsidRPr="003B2AB8">
        <w:t>TEA</w:t>
      </w:r>
      <w:r w:rsidR="00CA3DFE" w:rsidRPr="003B2AB8">
        <w:t>’s</w:t>
      </w:r>
      <w:r w:rsidRPr="003B2AB8">
        <w:t xml:space="preserve"> approach to determining content standards was very thoughtful and ensures that content taught and covered in one grade links to the next grade.</w:t>
      </w:r>
      <w:r w:rsidR="00610499" w:rsidRPr="003B2AB8">
        <w:t xml:space="preserve"> TEA’s content standards are defined as Texas Essential Knowledge and Skills (TEKS)</w:t>
      </w:r>
      <w:r w:rsidR="00490E7C" w:rsidRPr="003B2AB8">
        <w:t>.</w:t>
      </w:r>
      <w:r w:rsidR="00610499" w:rsidRPr="003B2AB8">
        <w:rPr>
          <w:rStyle w:val="FootnoteReference"/>
        </w:rPr>
        <w:footnoteReference w:id="14"/>
      </w:r>
      <w:r w:rsidR="00610499" w:rsidRPr="003B2AB8">
        <w:t xml:space="preserve"> </w:t>
      </w:r>
      <w:r w:rsidRPr="003B2AB8">
        <w:t xml:space="preserve">It is beyond the scope of this review to </w:t>
      </w:r>
      <w:r w:rsidR="006F3019" w:rsidRPr="003B2AB8">
        <w:t>assess the content standards specifically. Overall, t</w:t>
      </w:r>
      <w:r w:rsidRPr="003B2AB8">
        <w:t xml:space="preserve">he content standards are well laid out and provide sufficient detail of the knowledge and skills that are intended to be tested by </w:t>
      </w:r>
      <w:r w:rsidR="00381773" w:rsidRPr="003B2AB8">
        <w:t xml:space="preserve">the </w:t>
      </w:r>
      <w:r w:rsidRPr="003B2AB8">
        <w:t xml:space="preserve">STAAR program. </w:t>
      </w:r>
    </w:p>
    <w:p w14:paraId="05644759" w14:textId="77777777" w:rsidR="001C0BF1" w:rsidRPr="003B2AB8" w:rsidRDefault="001C0BF1" w:rsidP="001C0BF1">
      <w:pPr>
        <w:pStyle w:val="HBodyText"/>
      </w:pPr>
    </w:p>
    <w:p w14:paraId="7311DFAB" w14:textId="77777777" w:rsidR="001C0BF1" w:rsidRPr="003B2AB8" w:rsidRDefault="001C0BF1" w:rsidP="00512B82">
      <w:pPr>
        <w:pStyle w:val="HLevel4"/>
        <w:rPr>
          <w:lang w:val="en-US"/>
        </w:rPr>
      </w:pPr>
      <w:r w:rsidRPr="003B2AB8">
        <w:rPr>
          <w:lang w:val="en-US"/>
        </w:rPr>
        <w:t>1.2</w:t>
      </w:r>
      <w:r w:rsidR="00B86B9C" w:rsidRPr="003B2AB8">
        <w:rPr>
          <w:lang w:val="en-US"/>
        </w:rPr>
        <w:t>.</w:t>
      </w:r>
      <w:r w:rsidRPr="003B2AB8">
        <w:rPr>
          <w:lang w:val="en-US"/>
        </w:rPr>
        <w:t xml:space="preserve"> Refine </w:t>
      </w:r>
      <w:r w:rsidR="003B2EEC" w:rsidRPr="003B2AB8">
        <w:rPr>
          <w:lang w:val="en-US"/>
        </w:rPr>
        <w:t>t</w:t>
      </w:r>
      <w:r w:rsidRPr="003B2AB8">
        <w:rPr>
          <w:lang w:val="en-US"/>
        </w:rPr>
        <w:t xml:space="preserve">estable </w:t>
      </w:r>
      <w:r w:rsidR="003B2EEC" w:rsidRPr="003B2AB8">
        <w:rPr>
          <w:lang w:val="en-US"/>
        </w:rPr>
        <w:t>d</w:t>
      </w:r>
      <w:r w:rsidRPr="003B2AB8">
        <w:rPr>
          <w:lang w:val="en-US"/>
        </w:rPr>
        <w:t>omain</w:t>
      </w:r>
      <w:r w:rsidR="003B2EEC" w:rsidRPr="003B2AB8">
        <w:rPr>
          <w:lang w:val="en-US"/>
        </w:rPr>
        <w:t>.</w:t>
      </w:r>
    </w:p>
    <w:p w14:paraId="0FBEA81F" w14:textId="318E3213" w:rsidR="001C0BF1" w:rsidRPr="003B2AB8" w:rsidRDefault="001C0BF1" w:rsidP="001C0BF1">
      <w:pPr>
        <w:pStyle w:val="HBodyText"/>
      </w:pPr>
      <w:r w:rsidRPr="003B2AB8">
        <w:rPr>
          <w:szCs w:val="22"/>
        </w:rPr>
        <w:t xml:space="preserve">The testable domain is a distillation of the complete TEKS domain into TEA’s </w:t>
      </w:r>
      <w:r w:rsidR="00545C0D" w:rsidRPr="003B2AB8">
        <w:rPr>
          <w:szCs w:val="22"/>
        </w:rPr>
        <w:t>a</w:t>
      </w:r>
      <w:r w:rsidRPr="003B2AB8">
        <w:rPr>
          <w:szCs w:val="22"/>
        </w:rPr>
        <w:t xml:space="preserve">ssessed </w:t>
      </w:r>
      <w:r w:rsidR="00545C0D" w:rsidRPr="003B2AB8">
        <w:rPr>
          <w:szCs w:val="22"/>
        </w:rPr>
        <w:t>c</w:t>
      </w:r>
      <w:r w:rsidRPr="003B2AB8">
        <w:rPr>
          <w:szCs w:val="22"/>
        </w:rPr>
        <w:t>urriculum.</w:t>
      </w:r>
      <w:r w:rsidRPr="003B2AB8">
        <w:rPr>
          <w:rStyle w:val="FootnoteReference"/>
          <w:szCs w:val="22"/>
        </w:rPr>
        <w:footnoteReference w:id="15"/>
      </w:r>
      <w:r w:rsidRPr="003B2AB8">
        <w:rPr>
          <w:szCs w:val="22"/>
        </w:rPr>
        <w:t xml:space="preserve"> </w:t>
      </w:r>
      <w:r w:rsidR="00852352" w:rsidRPr="003B2AB8">
        <w:rPr>
          <w:szCs w:val="22"/>
        </w:rPr>
        <w:t>That</w:t>
      </w:r>
      <w:r w:rsidR="00924928" w:rsidRPr="003B2AB8">
        <w:rPr>
          <w:szCs w:val="22"/>
        </w:rPr>
        <w:t xml:space="preserve"> distillation was accomplished</w:t>
      </w:r>
      <w:r w:rsidRPr="003B2AB8">
        <w:rPr>
          <w:color w:val="000000"/>
          <w:szCs w:val="22"/>
        </w:rPr>
        <w:t xml:space="preserve"> </w:t>
      </w:r>
      <w:r w:rsidR="00C11B5A" w:rsidRPr="003B2AB8">
        <w:rPr>
          <w:color w:val="000000"/>
          <w:szCs w:val="22"/>
        </w:rPr>
        <w:t>through "</w:t>
      </w:r>
      <w:r w:rsidRPr="003B2AB8">
        <w:rPr>
          <w:color w:val="000000"/>
          <w:szCs w:val="22"/>
        </w:rPr>
        <w:t xml:space="preserve">educator committee recommendations" per page 6 of the </w:t>
      </w:r>
      <w:r w:rsidRPr="003B2AB8">
        <w:rPr>
          <w:i/>
          <w:iCs/>
          <w:color w:val="000000"/>
          <w:szCs w:val="22"/>
        </w:rPr>
        <w:t xml:space="preserve">Standard Setting Technical Report. </w:t>
      </w:r>
      <w:r w:rsidR="008C3264">
        <w:rPr>
          <w:iCs/>
          <w:color w:val="000000"/>
          <w:szCs w:val="22"/>
        </w:rPr>
        <w:t xml:space="preserve">During this process, </w:t>
      </w:r>
      <w:r w:rsidR="008C3264" w:rsidRPr="003B2AB8">
        <w:rPr>
          <w:color w:val="000000"/>
          <w:szCs w:val="22"/>
        </w:rPr>
        <w:t>TEA provided guidance</w:t>
      </w:r>
      <w:r w:rsidR="008C3264">
        <w:rPr>
          <w:color w:val="000000"/>
          <w:szCs w:val="22"/>
        </w:rPr>
        <w:t xml:space="preserve"> to committees</w:t>
      </w:r>
      <w:r w:rsidR="008C3264" w:rsidRPr="003B2AB8">
        <w:rPr>
          <w:color w:val="000000"/>
          <w:szCs w:val="22"/>
        </w:rPr>
        <w:t xml:space="preserve"> for determining eligible and ineligible knowledge and skills.</w:t>
      </w:r>
      <w:r w:rsidR="008C3264">
        <w:rPr>
          <w:color w:val="000000"/>
          <w:szCs w:val="22"/>
        </w:rPr>
        <w:t xml:space="preserve"> T</w:t>
      </w:r>
      <w:r w:rsidR="00613425">
        <w:rPr>
          <w:color w:val="000000"/>
          <w:szCs w:val="22"/>
        </w:rPr>
        <w:t>he educator committees</w:t>
      </w:r>
      <w:r w:rsidR="00490E7C" w:rsidRPr="003B2AB8">
        <w:rPr>
          <w:color w:val="000000"/>
          <w:szCs w:val="22"/>
        </w:rPr>
        <w:t xml:space="preserve">: </w:t>
      </w:r>
      <w:r w:rsidRPr="003B2AB8">
        <w:rPr>
          <w:color w:val="000000"/>
          <w:szCs w:val="22"/>
        </w:rPr>
        <w:t>(</w:t>
      </w:r>
      <w:r w:rsidR="00CA3DFE" w:rsidRPr="003B2AB8">
        <w:rPr>
          <w:color w:val="000000"/>
          <w:szCs w:val="22"/>
        </w:rPr>
        <w:t>a</w:t>
      </w:r>
      <w:r w:rsidRPr="003B2AB8">
        <w:rPr>
          <w:color w:val="000000"/>
          <w:szCs w:val="22"/>
        </w:rPr>
        <w:t>)</w:t>
      </w:r>
      <w:r w:rsidR="00B51A48" w:rsidRPr="003B2AB8">
        <w:rPr>
          <w:color w:val="000000"/>
          <w:szCs w:val="22"/>
        </w:rPr>
        <w:t> </w:t>
      </w:r>
      <w:r w:rsidR="008C3264" w:rsidRPr="003B2AB8">
        <w:rPr>
          <w:color w:val="000000"/>
          <w:szCs w:val="22"/>
        </w:rPr>
        <w:t>det</w:t>
      </w:r>
      <w:r w:rsidR="00613425">
        <w:rPr>
          <w:color w:val="000000"/>
          <w:szCs w:val="22"/>
        </w:rPr>
        <w:t xml:space="preserve">ermined </w:t>
      </w:r>
      <w:r w:rsidR="00490E7C" w:rsidRPr="003B2AB8">
        <w:rPr>
          <w:color w:val="000000"/>
          <w:szCs w:val="22"/>
        </w:rPr>
        <w:t>the</w:t>
      </w:r>
      <w:r w:rsidRPr="003B2AB8">
        <w:rPr>
          <w:color w:val="000000"/>
          <w:szCs w:val="22"/>
        </w:rPr>
        <w:t xml:space="preserve"> </w:t>
      </w:r>
      <w:r w:rsidR="008C3264">
        <w:rPr>
          <w:color w:val="000000"/>
          <w:szCs w:val="22"/>
        </w:rPr>
        <w:t>reporting categories for the a</w:t>
      </w:r>
      <w:r w:rsidRPr="003B2AB8">
        <w:rPr>
          <w:color w:val="000000"/>
          <w:szCs w:val="22"/>
        </w:rPr>
        <w:t xml:space="preserve">ssessed </w:t>
      </w:r>
      <w:r w:rsidR="008C3264">
        <w:rPr>
          <w:color w:val="000000"/>
          <w:szCs w:val="22"/>
        </w:rPr>
        <w:t>curriculum</w:t>
      </w:r>
      <w:r w:rsidRPr="003B2AB8">
        <w:rPr>
          <w:color w:val="000000"/>
          <w:szCs w:val="22"/>
        </w:rPr>
        <w:t>, (</w:t>
      </w:r>
      <w:r w:rsidR="00CA3DFE" w:rsidRPr="003B2AB8">
        <w:rPr>
          <w:color w:val="000000"/>
          <w:szCs w:val="22"/>
        </w:rPr>
        <w:t>b</w:t>
      </w:r>
      <w:r w:rsidRPr="003B2AB8">
        <w:rPr>
          <w:color w:val="000000"/>
          <w:szCs w:val="22"/>
        </w:rPr>
        <w:t xml:space="preserve">) </w:t>
      </w:r>
      <w:r w:rsidR="008C3264">
        <w:rPr>
          <w:color w:val="000000"/>
          <w:szCs w:val="22"/>
        </w:rPr>
        <w:t xml:space="preserve">sorted </w:t>
      </w:r>
      <w:r w:rsidRPr="003B2AB8">
        <w:rPr>
          <w:color w:val="000000"/>
          <w:szCs w:val="22"/>
        </w:rPr>
        <w:t xml:space="preserve">TEKS into those </w:t>
      </w:r>
      <w:r w:rsidR="008C3264">
        <w:rPr>
          <w:color w:val="000000"/>
          <w:szCs w:val="22"/>
        </w:rPr>
        <w:t>r</w:t>
      </w:r>
      <w:r w:rsidRPr="003B2AB8">
        <w:rPr>
          <w:color w:val="000000"/>
          <w:szCs w:val="22"/>
        </w:rPr>
        <w:t xml:space="preserve">eporting </w:t>
      </w:r>
      <w:r w:rsidR="008C3264">
        <w:rPr>
          <w:color w:val="000000"/>
          <w:szCs w:val="22"/>
        </w:rPr>
        <w:t>c</w:t>
      </w:r>
      <w:r w:rsidRPr="003B2AB8">
        <w:rPr>
          <w:color w:val="000000"/>
          <w:szCs w:val="22"/>
        </w:rPr>
        <w:t>ategories, and (</w:t>
      </w:r>
      <w:r w:rsidR="00CA3DFE" w:rsidRPr="003B2AB8">
        <w:rPr>
          <w:color w:val="000000"/>
          <w:szCs w:val="22"/>
        </w:rPr>
        <w:t>c</w:t>
      </w:r>
      <w:r w:rsidRPr="003B2AB8">
        <w:rPr>
          <w:color w:val="000000"/>
          <w:szCs w:val="22"/>
        </w:rPr>
        <w:t xml:space="preserve">) </w:t>
      </w:r>
      <w:r w:rsidR="00490E7C" w:rsidRPr="003B2AB8">
        <w:rPr>
          <w:color w:val="000000"/>
          <w:szCs w:val="22"/>
        </w:rPr>
        <w:t>decid</w:t>
      </w:r>
      <w:r w:rsidR="008C3264">
        <w:rPr>
          <w:color w:val="000000"/>
          <w:szCs w:val="22"/>
        </w:rPr>
        <w:t>ed</w:t>
      </w:r>
      <w:r w:rsidR="00490E7C" w:rsidRPr="003B2AB8">
        <w:rPr>
          <w:color w:val="000000"/>
          <w:szCs w:val="22"/>
        </w:rPr>
        <w:t xml:space="preserve"> which</w:t>
      </w:r>
      <w:r w:rsidRPr="003B2AB8">
        <w:rPr>
          <w:color w:val="000000"/>
          <w:szCs w:val="22"/>
        </w:rPr>
        <w:t xml:space="preserve"> TEKS </w:t>
      </w:r>
      <w:r w:rsidR="00490E7C" w:rsidRPr="003B2AB8">
        <w:rPr>
          <w:color w:val="000000"/>
          <w:szCs w:val="22"/>
        </w:rPr>
        <w:t>to omit</w:t>
      </w:r>
      <w:r w:rsidRPr="003B2AB8">
        <w:rPr>
          <w:color w:val="000000"/>
          <w:szCs w:val="22"/>
        </w:rPr>
        <w:t xml:space="preserve"> from the testable domain</w:t>
      </w:r>
      <w:r w:rsidR="008C3264">
        <w:rPr>
          <w:color w:val="000000"/>
          <w:szCs w:val="22"/>
        </w:rPr>
        <w:t>.</w:t>
      </w:r>
      <w:r w:rsidR="00490E7C" w:rsidRPr="003B2AB8">
        <w:rPr>
          <w:color w:val="000000"/>
          <w:szCs w:val="22"/>
        </w:rPr>
        <w:t xml:space="preserve"> </w:t>
      </w:r>
    </w:p>
    <w:p w14:paraId="204470A0" w14:textId="77777777" w:rsidR="001C0BF1" w:rsidRPr="003B2AB8" w:rsidRDefault="001C0BF1" w:rsidP="001C0BF1">
      <w:pPr>
        <w:pStyle w:val="HBodyText"/>
      </w:pPr>
    </w:p>
    <w:p w14:paraId="7CA168E9" w14:textId="77777777" w:rsidR="001C0BF1" w:rsidRPr="003B2AB8" w:rsidRDefault="001C0BF1" w:rsidP="00512B82">
      <w:pPr>
        <w:pStyle w:val="HLevel4"/>
        <w:rPr>
          <w:lang w:val="en-US"/>
        </w:rPr>
      </w:pPr>
      <w:r w:rsidRPr="003B2AB8">
        <w:rPr>
          <w:lang w:val="en-US"/>
        </w:rPr>
        <w:t xml:space="preserve">1.3 Create </w:t>
      </w:r>
      <w:r w:rsidR="003B2EEC" w:rsidRPr="003B2AB8">
        <w:rPr>
          <w:lang w:val="en-US"/>
        </w:rPr>
        <w:t>t</w:t>
      </w:r>
      <w:r w:rsidRPr="003B2AB8">
        <w:rPr>
          <w:lang w:val="en-US"/>
        </w:rPr>
        <w:t xml:space="preserve">est </w:t>
      </w:r>
      <w:r w:rsidR="003B2EEC" w:rsidRPr="003B2AB8">
        <w:rPr>
          <w:lang w:val="en-US"/>
        </w:rPr>
        <w:t>b</w:t>
      </w:r>
      <w:r w:rsidRPr="003B2AB8">
        <w:rPr>
          <w:lang w:val="en-US"/>
        </w:rPr>
        <w:t>lueprints</w:t>
      </w:r>
      <w:r w:rsidR="003B2EEC" w:rsidRPr="003B2AB8">
        <w:rPr>
          <w:lang w:val="en-US"/>
        </w:rPr>
        <w:t>.</w:t>
      </w:r>
    </w:p>
    <w:p w14:paraId="26688E19" w14:textId="6C50EFE1" w:rsidR="001C0BF1" w:rsidRPr="003B2AB8" w:rsidRDefault="00490E7C" w:rsidP="001C0BF1">
      <w:pPr>
        <w:pStyle w:val="HBodyText"/>
      </w:pPr>
      <w:r w:rsidRPr="003B2AB8">
        <w:t>The test blueprints indicate the number, or range, of assessment items per form that should address each reporting category, standard type and item type, when applicable. The percentage of items</w:t>
      </w:r>
      <w:r w:rsidR="00545C0D" w:rsidRPr="003B2AB8">
        <w:t xml:space="preserve"> on the blueprint</w:t>
      </w:r>
      <w:r w:rsidRPr="003B2AB8">
        <w:t xml:space="preserve"> representing each </w:t>
      </w:r>
      <w:r w:rsidR="00545C0D" w:rsidRPr="003B2AB8">
        <w:t>standard type</w:t>
      </w:r>
      <w:r w:rsidR="00613425">
        <w:t xml:space="preserve"> </w:t>
      </w:r>
      <w:r w:rsidR="001C0BF1" w:rsidRPr="003B2AB8">
        <w:t xml:space="preserve">were essentially mirrored </w:t>
      </w:r>
      <w:r w:rsidR="00545C0D" w:rsidRPr="003B2AB8">
        <w:t>form the assessed curriculum</w:t>
      </w:r>
      <w:r w:rsidR="001C0BF1" w:rsidRPr="003B2AB8">
        <w:t xml:space="preserve"> (70%/30% in the </w:t>
      </w:r>
      <w:r w:rsidR="00545C0D" w:rsidRPr="003B2AB8">
        <w:t xml:space="preserve">assessed </w:t>
      </w:r>
      <w:r w:rsidRPr="003B2AB8">
        <w:t>c</w:t>
      </w:r>
      <w:r w:rsidR="001C0BF1" w:rsidRPr="003B2AB8">
        <w:t xml:space="preserve">urriculum and 65%/35% in the </w:t>
      </w:r>
      <w:r w:rsidR="00381D0A" w:rsidRPr="003B2AB8">
        <w:t>t</w:t>
      </w:r>
      <w:r w:rsidR="001C0BF1" w:rsidRPr="003B2AB8">
        <w:t xml:space="preserve">est </w:t>
      </w:r>
      <w:r w:rsidR="00381D0A" w:rsidRPr="003B2AB8">
        <w:t>b</w:t>
      </w:r>
      <w:r w:rsidR="00545C0D" w:rsidRPr="003B2AB8">
        <w:t>lueprints</w:t>
      </w:r>
      <w:r w:rsidR="00613425">
        <w:t>, for</w:t>
      </w:r>
      <w:r w:rsidR="00613425" w:rsidRPr="003B2AB8">
        <w:t xml:space="preserve"> readiness and supporting standards,</w:t>
      </w:r>
      <w:r w:rsidR="00613425">
        <w:t xml:space="preserve"> respectively</w:t>
      </w:r>
      <w:r w:rsidR="00545C0D" w:rsidRPr="003B2AB8">
        <w:t>). The</w:t>
      </w:r>
      <w:r w:rsidR="001C0BF1" w:rsidRPr="003B2AB8">
        <w:t xml:space="preserve"> percentages</w:t>
      </w:r>
      <w:r w:rsidR="00545C0D" w:rsidRPr="003B2AB8">
        <w:t xml:space="preserve"> of </w:t>
      </w:r>
      <w:r w:rsidR="001C0BF1" w:rsidRPr="003B2AB8">
        <w:t>items repres</w:t>
      </w:r>
      <w:r w:rsidR="00924928" w:rsidRPr="003B2AB8">
        <w:t xml:space="preserve">enting each </w:t>
      </w:r>
      <w:r w:rsidR="00545C0D" w:rsidRPr="003B2AB8">
        <w:t>r</w:t>
      </w:r>
      <w:r w:rsidR="00924928" w:rsidRPr="003B2AB8">
        <w:t xml:space="preserve">eporting </w:t>
      </w:r>
      <w:r w:rsidR="00545C0D" w:rsidRPr="003B2AB8">
        <w:t>c</w:t>
      </w:r>
      <w:r w:rsidR="00924928" w:rsidRPr="003B2AB8">
        <w:t>ategory</w:t>
      </w:r>
      <w:r w:rsidR="00F63AFE" w:rsidRPr="003B2AB8">
        <w:t xml:space="preserve"> were determined through discussion with educator committees.</w:t>
      </w:r>
      <w:r w:rsidR="00F63AFE" w:rsidRPr="003B2AB8">
        <w:rPr>
          <w:rStyle w:val="FootnoteReference"/>
        </w:rPr>
        <w:footnoteReference w:id="16"/>
      </w:r>
    </w:p>
    <w:p w14:paraId="4028FC99" w14:textId="77777777" w:rsidR="00B51A48" w:rsidRPr="003B2AB8" w:rsidRDefault="00B51A48" w:rsidP="001C0BF1">
      <w:pPr>
        <w:pStyle w:val="HBodyText"/>
      </w:pPr>
    </w:p>
    <w:p w14:paraId="64B4A355" w14:textId="4D0CDFDD" w:rsidR="00512B82" w:rsidRPr="003B2AB8" w:rsidRDefault="00CD5E4C" w:rsidP="001C0BF1">
      <w:pPr>
        <w:pStyle w:val="HBodyText"/>
      </w:pPr>
      <w:r>
        <w:t>T</w:t>
      </w:r>
      <w:r w:rsidR="00512B82" w:rsidRPr="003B2AB8">
        <w:t>he content standards, the assessed curriculum</w:t>
      </w:r>
      <w:r w:rsidR="00852352" w:rsidRPr="003B2AB8">
        <w:t>,</w:t>
      </w:r>
      <w:r w:rsidR="00512B82" w:rsidRPr="003B2AB8">
        <w:t xml:space="preserve"> and the test blueprints provide information about the knowledge and skills </w:t>
      </w:r>
      <w:r w:rsidR="00852352" w:rsidRPr="003B2AB8">
        <w:t>on which</w:t>
      </w:r>
      <w:r w:rsidR="00924928" w:rsidRPr="003B2AB8">
        <w:t xml:space="preserve"> students should be tested</w:t>
      </w:r>
      <w:r w:rsidR="00453977">
        <w:t>.</w:t>
      </w:r>
      <w:r>
        <w:t xml:space="preserve"> </w:t>
      </w:r>
      <w:r w:rsidR="00453977">
        <w:t>T</w:t>
      </w:r>
      <w:r>
        <w:t xml:space="preserve">hese materials serve as </w:t>
      </w:r>
      <w:r w:rsidR="00512B82" w:rsidRPr="003B2AB8">
        <w:t>the foundation for building a test</w:t>
      </w:r>
      <w:r w:rsidR="00453977">
        <w:t xml:space="preserve"> and</w:t>
      </w:r>
      <w:r w:rsidR="00512B82" w:rsidRPr="003B2AB8">
        <w:t xml:space="preserve"> </w:t>
      </w:r>
      <w:r w:rsidR="00453977">
        <w:t>provide</w:t>
      </w:r>
      <w:r w:rsidR="00B23B88" w:rsidRPr="003B2AB8">
        <w:t xml:space="preserve"> the criteria </w:t>
      </w:r>
      <w:r w:rsidR="00941C33" w:rsidRPr="003B2AB8">
        <w:t xml:space="preserve">by </w:t>
      </w:r>
      <w:r w:rsidR="00B23B88" w:rsidRPr="003B2AB8">
        <w:t xml:space="preserve">which to judge the validity of test scores. </w:t>
      </w:r>
    </w:p>
    <w:p w14:paraId="00EADDE8" w14:textId="77777777" w:rsidR="00B23B88" w:rsidRPr="003B2AB8" w:rsidRDefault="00B23B88" w:rsidP="001C0BF1">
      <w:pPr>
        <w:pStyle w:val="HBodyText"/>
      </w:pPr>
    </w:p>
    <w:p w14:paraId="4D4FC195" w14:textId="77777777" w:rsidR="00B23B88" w:rsidRPr="003B2AB8" w:rsidRDefault="00B23B88" w:rsidP="00B23B88">
      <w:pPr>
        <w:pStyle w:val="HLevel3"/>
        <w:rPr>
          <w:noProof w:val="0"/>
        </w:rPr>
      </w:pPr>
      <w:bookmarkStart w:id="31" w:name="_Toc446343627"/>
      <w:r w:rsidRPr="003B2AB8">
        <w:rPr>
          <w:noProof w:val="0"/>
        </w:rPr>
        <w:t>2. Prepare Test Items</w:t>
      </w:r>
      <w:bookmarkEnd w:id="31"/>
    </w:p>
    <w:p w14:paraId="07C242BB" w14:textId="3B06C666" w:rsidR="000D0E2B" w:rsidRPr="003B2AB8" w:rsidRDefault="000D0E2B" w:rsidP="000D0E2B">
      <w:pPr>
        <w:pStyle w:val="HBodyText"/>
      </w:pPr>
      <w:r w:rsidRPr="003B2AB8">
        <w:t>Once the testable content is defined</w:t>
      </w:r>
      <w:r w:rsidR="00453977">
        <w:t xml:space="preserve">, </w:t>
      </w:r>
      <w:r w:rsidRPr="003B2AB8">
        <w:t xml:space="preserve">the </w:t>
      </w:r>
      <w:r w:rsidR="008C27B3" w:rsidRPr="003B2AB8">
        <w:t xml:space="preserve">test </w:t>
      </w:r>
      <w:r w:rsidRPr="003B2AB8">
        <w:t>blueprint</w:t>
      </w:r>
      <w:r w:rsidR="006864A7" w:rsidRPr="003B2AB8">
        <w:t>s</w:t>
      </w:r>
      <w:r w:rsidR="001D68BE">
        <w:t xml:space="preserve"> </w:t>
      </w:r>
      <w:r w:rsidR="00453977">
        <w:t xml:space="preserve">is used </w:t>
      </w:r>
      <w:r w:rsidRPr="003B2AB8">
        <w:t xml:space="preserve">to </w:t>
      </w:r>
      <w:r w:rsidR="001D68BE">
        <w:t>guide the item writing process.</w:t>
      </w:r>
      <w:r w:rsidRPr="003B2AB8">
        <w:t xml:space="preserve"> Th</w:t>
      </w:r>
      <w:r w:rsidR="00941C33" w:rsidRPr="003B2AB8">
        <w:t>is</w:t>
      </w:r>
      <w:r w:rsidRPr="003B2AB8">
        <w:t xml:space="preserve"> </w:t>
      </w:r>
      <w:r w:rsidR="00934A97">
        <w:t xml:space="preserve">helps </w:t>
      </w:r>
      <w:r w:rsidR="008C27B3" w:rsidRPr="003B2AB8">
        <w:t>ensur</w:t>
      </w:r>
      <w:r w:rsidR="00934A97">
        <w:t>e</w:t>
      </w:r>
      <w:r w:rsidR="008C27B3" w:rsidRPr="003B2AB8">
        <w:t xml:space="preserve"> the</w:t>
      </w:r>
      <w:r w:rsidR="00A049ED" w:rsidRPr="003B2AB8">
        <w:t xml:space="preserve"> items</w:t>
      </w:r>
      <w:r w:rsidR="008C27B3" w:rsidRPr="003B2AB8">
        <w:t xml:space="preserve"> measure </w:t>
      </w:r>
      <w:r w:rsidR="00A049ED" w:rsidRPr="003B2AB8">
        <w:t xml:space="preserve">testable </w:t>
      </w:r>
      <w:r w:rsidR="00941C33" w:rsidRPr="003B2AB8">
        <w:t xml:space="preserve">knowledge </w:t>
      </w:r>
      <w:r w:rsidR="00453977">
        <w:t xml:space="preserve">and </w:t>
      </w:r>
      <w:r w:rsidR="008C27B3" w:rsidRPr="003B2AB8">
        <w:t xml:space="preserve">skills.  </w:t>
      </w:r>
    </w:p>
    <w:p w14:paraId="4286B775" w14:textId="77777777" w:rsidR="001C0BF1" w:rsidRPr="003B2AB8" w:rsidRDefault="001C0BF1" w:rsidP="003B2EEC"/>
    <w:p w14:paraId="4538CDD5" w14:textId="77777777" w:rsidR="001C0BF1" w:rsidRPr="003B2AB8" w:rsidRDefault="001C0BF1" w:rsidP="00B23B88">
      <w:pPr>
        <w:pStyle w:val="HLevel4"/>
        <w:rPr>
          <w:lang w:val="en-US"/>
        </w:rPr>
      </w:pPr>
      <w:r w:rsidRPr="003B2AB8">
        <w:rPr>
          <w:lang w:val="en-US"/>
        </w:rPr>
        <w:t>2.1</w:t>
      </w:r>
      <w:r w:rsidR="003B2EEC" w:rsidRPr="003B2AB8">
        <w:rPr>
          <w:lang w:val="en-US"/>
        </w:rPr>
        <w:t>.</w:t>
      </w:r>
      <w:r w:rsidRPr="003B2AB8">
        <w:rPr>
          <w:lang w:val="en-US"/>
        </w:rPr>
        <w:t xml:space="preserve"> Write items</w:t>
      </w:r>
      <w:r w:rsidR="003B2EEC" w:rsidRPr="003B2AB8">
        <w:rPr>
          <w:lang w:val="en-US"/>
        </w:rPr>
        <w:t>.</w:t>
      </w:r>
    </w:p>
    <w:p w14:paraId="2F3D456A" w14:textId="50ED8253" w:rsidR="001C0BF1" w:rsidRPr="003B2AB8" w:rsidRDefault="001C0BF1" w:rsidP="001C0BF1">
      <w:pPr>
        <w:pStyle w:val="HBodyText"/>
      </w:pPr>
      <w:r w:rsidRPr="003B2AB8">
        <w:t>Chapter 2 of the Technical Digest</w:t>
      </w:r>
      <w:r w:rsidR="00A049ED" w:rsidRPr="003B2AB8">
        <w:rPr>
          <w:rStyle w:val="FootnoteReference"/>
        </w:rPr>
        <w:footnoteReference w:id="17"/>
      </w:r>
      <w:r w:rsidRPr="003B2AB8">
        <w:t xml:space="preserve"> provides a high</w:t>
      </w:r>
      <w:r w:rsidR="00381773" w:rsidRPr="003B2AB8">
        <w:t>-</w:t>
      </w:r>
      <w:r w:rsidRPr="003B2AB8">
        <w:t xml:space="preserve">level </w:t>
      </w:r>
      <w:r w:rsidR="00613425">
        <w:t>over</w:t>
      </w:r>
      <w:r w:rsidRPr="003B2AB8">
        <w:t>view of the item writing process</w:t>
      </w:r>
      <w:r w:rsidR="00DA0943">
        <w:t>.</w:t>
      </w:r>
      <w:r w:rsidRPr="003B2AB8">
        <w:t xml:space="preserve"> </w:t>
      </w:r>
      <w:r w:rsidR="00DA0943">
        <w:t>As described in the Technical Digest, i</w:t>
      </w:r>
      <w:r w:rsidR="00A049ED" w:rsidRPr="003B2AB8">
        <w:t>tem writers include</w:t>
      </w:r>
      <w:r w:rsidR="00DA0943">
        <w:t>d</w:t>
      </w:r>
      <w:r w:rsidR="00A049ED" w:rsidRPr="003B2AB8">
        <w:t xml:space="preserve"> individuals with item writing experience who are knowledgeable with specific grade content and curriculum development. Item writers are provided guidelines and are trained on how to translate the TEKS standards into items. </w:t>
      </w:r>
      <w:r w:rsidRPr="003B2AB8">
        <w:t>Certainly, there is a degree of “art” or “craft” to the process of writing quality items that is difficult to fully describe in summary documents</w:t>
      </w:r>
      <w:r w:rsidR="006F3019" w:rsidRPr="003B2AB8">
        <w:t xml:space="preserve">. </w:t>
      </w:r>
      <w:r w:rsidR="00381D0A" w:rsidRPr="003B2AB8">
        <w:t>However, o</w:t>
      </w:r>
      <w:r w:rsidR="00A049ED" w:rsidRPr="003B2AB8">
        <w:t xml:space="preserve">verall the </w:t>
      </w:r>
      <w:r w:rsidR="00056CC7" w:rsidRPr="003B2AB8">
        <w:t xml:space="preserve">item writing procedures </w:t>
      </w:r>
      <w:r w:rsidR="00453977">
        <w:t>should</w:t>
      </w:r>
      <w:r w:rsidR="004C70E4">
        <w:t xml:space="preserve"> </w:t>
      </w:r>
      <w:r w:rsidR="00056CC7" w:rsidRPr="003B2AB8">
        <w:t xml:space="preserve">support the development of items that measure testable content. </w:t>
      </w:r>
    </w:p>
    <w:p w14:paraId="5C9CAF99" w14:textId="77777777" w:rsidR="006F3019" w:rsidRPr="003B2AB8" w:rsidRDefault="006F3019" w:rsidP="001C0BF1">
      <w:pPr>
        <w:pStyle w:val="HBodyText"/>
      </w:pPr>
    </w:p>
    <w:p w14:paraId="0209745A" w14:textId="77777777" w:rsidR="001C0BF1" w:rsidRPr="003B2AB8" w:rsidRDefault="001C0BF1" w:rsidP="00B23B88">
      <w:pPr>
        <w:pStyle w:val="HLevel4"/>
        <w:rPr>
          <w:lang w:val="en-US"/>
        </w:rPr>
      </w:pPr>
      <w:r w:rsidRPr="003B2AB8">
        <w:rPr>
          <w:lang w:val="en-US"/>
        </w:rPr>
        <w:t>2.2</w:t>
      </w:r>
      <w:r w:rsidR="003B2EEC" w:rsidRPr="003B2AB8">
        <w:rPr>
          <w:lang w:val="en-US"/>
        </w:rPr>
        <w:t>.</w:t>
      </w:r>
      <w:r w:rsidRPr="003B2AB8">
        <w:rPr>
          <w:lang w:val="en-US"/>
        </w:rPr>
        <w:t xml:space="preserve"> Conduct expert item reviews</w:t>
      </w:r>
      <w:r w:rsidR="003B2EEC" w:rsidRPr="003B2AB8">
        <w:rPr>
          <w:lang w:val="en-US"/>
        </w:rPr>
        <w:t>.</w:t>
      </w:r>
    </w:p>
    <w:p w14:paraId="3FC14629" w14:textId="78691CB5" w:rsidR="001C0BF1" w:rsidRPr="003B2AB8" w:rsidRDefault="00D97935" w:rsidP="001C0BF1">
      <w:pPr>
        <w:pStyle w:val="HBodyText"/>
      </w:pPr>
      <w:r w:rsidRPr="003B2AB8">
        <w:t xml:space="preserve">Chapter 2 of the Technical Digest </w:t>
      </w:r>
      <w:r w:rsidR="00A83888">
        <w:t xml:space="preserve">also </w:t>
      </w:r>
      <w:r w:rsidRPr="003B2AB8">
        <w:t>describes the item r</w:t>
      </w:r>
      <w:r w:rsidR="00056CC7" w:rsidRPr="003B2AB8">
        <w:t xml:space="preserve">eview process. </w:t>
      </w:r>
      <w:r w:rsidR="00A83888">
        <w:t>As described in this document, i</w:t>
      </w:r>
      <w:r w:rsidR="00056CC7" w:rsidRPr="003B2AB8">
        <w:t>tems are first reviewed by the primary contractor</w:t>
      </w:r>
      <w:r w:rsidR="00941C33" w:rsidRPr="003B2AB8">
        <w:t xml:space="preserve"> for</w:t>
      </w:r>
      <w:r w:rsidR="00056CC7" w:rsidRPr="003B2AB8">
        <w:t xml:space="preserve"> </w:t>
      </w:r>
      <w:r w:rsidR="00056CC7" w:rsidRPr="003B2AB8">
        <w:rPr>
          <w:szCs w:val="22"/>
        </w:rPr>
        <w:t>“the alignment between the items and the reporting categories, range of difficulty, clarity, accuracy of correct answers, and plausibility of incorrect answer choices (pg.</w:t>
      </w:r>
      <w:r w:rsidR="00164868" w:rsidRPr="003B2AB8">
        <w:rPr>
          <w:szCs w:val="22"/>
        </w:rPr>
        <w:t> </w:t>
      </w:r>
      <w:r w:rsidR="00056CC7" w:rsidRPr="003B2AB8">
        <w:rPr>
          <w:szCs w:val="22"/>
        </w:rPr>
        <w:t>19)</w:t>
      </w:r>
      <w:r w:rsidR="00A83888">
        <w:rPr>
          <w:szCs w:val="22"/>
        </w:rPr>
        <w:t>.</w:t>
      </w:r>
      <w:r w:rsidR="00056CC7" w:rsidRPr="003B2AB8">
        <w:rPr>
          <w:szCs w:val="22"/>
        </w:rPr>
        <w:t xml:space="preserve">” </w:t>
      </w:r>
      <w:r w:rsidR="00666B3E" w:rsidRPr="003B2AB8">
        <w:rPr>
          <w:szCs w:val="22"/>
        </w:rPr>
        <w:t xml:space="preserve">Next, </w:t>
      </w:r>
      <w:r w:rsidR="00056CC7" w:rsidRPr="003B2AB8">
        <w:rPr>
          <w:szCs w:val="22"/>
        </w:rPr>
        <w:t>TEA staff “scrutinize each item to verify alignment to a particular student expectation in the TEKS; grade appropriateness; clarity of wording; content accuracy; plausibility of the distractors; and identification of any potential economic, regional, cultural, gender, or ethnic bias (pg. 19)</w:t>
      </w:r>
      <w:r w:rsidR="00A83888">
        <w:rPr>
          <w:szCs w:val="22"/>
        </w:rPr>
        <w:t>.</w:t>
      </w:r>
      <w:r w:rsidR="00056CC7" w:rsidRPr="003B2AB8">
        <w:rPr>
          <w:szCs w:val="22"/>
        </w:rPr>
        <w:t>” Finally, committees of Texas classroom teachers “judge each item for appropriateness, adequacy of student preparation, and any potential bias…and recommend whether the item should be field-tested as written, revised, recoded to a different eligible TEKS student expectation, or rejected (pg. 20).</w:t>
      </w:r>
      <w:r w:rsidR="00381773" w:rsidRPr="003B2AB8">
        <w:rPr>
          <w:szCs w:val="22"/>
        </w:rPr>
        <w:t xml:space="preserve">” </w:t>
      </w:r>
      <w:r w:rsidR="001C0BF1" w:rsidRPr="003B2AB8">
        <w:t>The judgments</w:t>
      </w:r>
      <w:r w:rsidR="00DB6D8D">
        <w:t>,</w:t>
      </w:r>
      <w:r w:rsidR="001C0BF1" w:rsidRPr="003B2AB8">
        <w:t xml:space="preserve"> </w:t>
      </w:r>
      <w:r w:rsidR="00DA0943">
        <w:t xml:space="preserve">made </w:t>
      </w:r>
      <w:r w:rsidR="001C0BF1" w:rsidRPr="003B2AB8">
        <w:t xml:space="preserve">about </w:t>
      </w:r>
      <w:r w:rsidR="00056CC7" w:rsidRPr="003B2AB8">
        <w:t>the alignment of each item to the TEKS expectations</w:t>
      </w:r>
      <w:r w:rsidR="00DB6D8D">
        <w:t>, provide</w:t>
      </w:r>
      <w:r w:rsidR="001C0BF1" w:rsidRPr="003B2AB8">
        <w:t xml:space="preserve"> the primary evidence that STAAR scores can be interpreted as representing students’ knowledge and skills</w:t>
      </w:r>
      <w:r w:rsidR="00056CC7" w:rsidRPr="003B2AB8">
        <w:t>.</w:t>
      </w:r>
    </w:p>
    <w:p w14:paraId="74AD65D7" w14:textId="77777777" w:rsidR="001C0BF1" w:rsidRPr="003B2AB8" w:rsidRDefault="001C0BF1" w:rsidP="001C0BF1">
      <w:pPr>
        <w:pStyle w:val="HBodyText"/>
      </w:pPr>
    </w:p>
    <w:p w14:paraId="3B28DCDF" w14:textId="77777777" w:rsidR="001C0BF1" w:rsidRPr="003B2AB8" w:rsidRDefault="001C0BF1" w:rsidP="00B23B88">
      <w:pPr>
        <w:pStyle w:val="HLevel4"/>
        <w:rPr>
          <w:lang w:val="en-US"/>
        </w:rPr>
      </w:pPr>
      <w:r w:rsidRPr="003B2AB8">
        <w:rPr>
          <w:lang w:val="en-US"/>
        </w:rPr>
        <w:t>2.3</w:t>
      </w:r>
      <w:r w:rsidR="003B2EEC" w:rsidRPr="003B2AB8">
        <w:rPr>
          <w:lang w:val="en-US"/>
        </w:rPr>
        <w:t>.</w:t>
      </w:r>
      <w:r w:rsidRPr="003B2AB8">
        <w:rPr>
          <w:lang w:val="en-US"/>
        </w:rPr>
        <w:t xml:space="preserve"> Field </w:t>
      </w:r>
      <w:r w:rsidR="003B2EEC" w:rsidRPr="003B2AB8">
        <w:rPr>
          <w:lang w:val="en-US"/>
        </w:rPr>
        <w:t>t</w:t>
      </w:r>
      <w:r w:rsidRPr="003B2AB8">
        <w:rPr>
          <w:lang w:val="en-US"/>
        </w:rPr>
        <w:t>est</w:t>
      </w:r>
      <w:r w:rsidR="003B2EEC" w:rsidRPr="003B2AB8">
        <w:rPr>
          <w:lang w:val="en-US"/>
        </w:rPr>
        <w:t>.</w:t>
      </w:r>
    </w:p>
    <w:p w14:paraId="29AE22EA" w14:textId="76D47D64" w:rsidR="00050A38" w:rsidRPr="003B2AB8" w:rsidRDefault="001C0BF1" w:rsidP="00050A38">
      <w:pPr>
        <w:pStyle w:val="HBodyText"/>
      </w:pPr>
      <w:r w:rsidRPr="003B2AB8">
        <w:t>Once items have passed the hurdles</w:t>
      </w:r>
      <w:r w:rsidR="00A83888">
        <w:t xml:space="preserve"> described above</w:t>
      </w:r>
      <w:r w:rsidRPr="003B2AB8">
        <w:t>, they are placed on operational test forms for field testing. While these field-test items are not used to produce test scores, having them intermingled among operationally scored items created the same test administration conditions (e.g.</w:t>
      </w:r>
      <w:r w:rsidR="003B2EEC" w:rsidRPr="003B2AB8">
        <w:t>,</w:t>
      </w:r>
      <w:r w:rsidRPr="003B2AB8">
        <w:t xml:space="preserve"> student motivation) as if they were operational items. The Technical Digest describes statistical item analyses used to show that students are responding to each individual field test item with a statistical pattern that supports the notion that higher achieving students, based on their operational test scores, tend to score higher on individual field test items and lower </w:t>
      </w:r>
      <w:r w:rsidR="00941C33" w:rsidRPr="003B2AB8">
        <w:t xml:space="preserve">achieving </w:t>
      </w:r>
      <w:r w:rsidRPr="003B2AB8">
        <w:t>students tend to score lower. This type of stati</w:t>
      </w:r>
      <w:r w:rsidR="00941C33" w:rsidRPr="003B2AB8">
        <w:t>sti</w:t>
      </w:r>
      <w:r w:rsidRPr="003B2AB8">
        <w:t>cal analyses supports validity evidence about whether or not an item appropriate</w:t>
      </w:r>
      <w:r w:rsidR="00466AB5" w:rsidRPr="003B2AB8">
        <w:t>ly</w:t>
      </w:r>
      <w:r w:rsidRPr="003B2AB8">
        <w:t xml:space="preserve"> discriminates differences in grade/subject achievement. In addition, field-test statistics indicate whether or not the difficulty of the item is within the r</w:t>
      </w:r>
      <w:r w:rsidR="00B85C66" w:rsidRPr="003B2AB8">
        <w:t>ange of students’ achievement (</w:t>
      </w:r>
      <w:r w:rsidRPr="003B2AB8">
        <w:t>i.e., that an individual item is neither too hard nor too easy). Item difficulty, along with item discrimination</w:t>
      </w:r>
      <w:r w:rsidR="00941C33" w:rsidRPr="003B2AB8">
        <w:t>,</w:t>
      </w:r>
      <w:r w:rsidRPr="003B2AB8">
        <w:t xml:space="preserve"> supports both test score reliability and validity in the sense of the item contributing to measurement certainty. </w:t>
      </w:r>
      <w:r w:rsidR="00050A38" w:rsidRPr="003B2AB8">
        <w:t xml:space="preserve">Note that typical item statistics cannot verify the specific reporting category or expectation-level of an item nor are they intended to do so. </w:t>
      </w:r>
    </w:p>
    <w:p w14:paraId="187E44ED" w14:textId="77777777" w:rsidR="00050A38" w:rsidRPr="003B2AB8" w:rsidRDefault="00050A38" w:rsidP="001C0BF1">
      <w:pPr>
        <w:pStyle w:val="HBodyText"/>
      </w:pPr>
    </w:p>
    <w:p w14:paraId="3F26EA60" w14:textId="4A6E6AB5" w:rsidR="001C0BF1" w:rsidRPr="003B2AB8" w:rsidRDefault="00056CC7" w:rsidP="001C0BF1">
      <w:pPr>
        <w:pStyle w:val="HBodyText"/>
      </w:pPr>
      <w:r w:rsidRPr="003B2AB8">
        <w:t>Additionally, after field testing</w:t>
      </w:r>
      <w:r w:rsidR="00A83888">
        <w:t>,</w:t>
      </w:r>
      <w:r w:rsidRPr="003B2AB8">
        <w:t xml:space="preserve"> the primary contractor and TEA curriculum and assessment specialists discuss each field test item and the associated data. </w:t>
      </w:r>
      <w:r w:rsidR="00050A38" w:rsidRPr="003B2AB8">
        <w:t>Each item is reviewed for appropriateness, level of difficulty, potential bias, and reporting cat</w:t>
      </w:r>
      <w:r w:rsidR="00666B3E" w:rsidRPr="003B2AB8">
        <w:t xml:space="preserve">egory/student expectation match. Based on this review, a </w:t>
      </w:r>
      <w:r w:rsidR="00050A38" w:rsidRPr="003B2AB8">
        <w:t xml:space="preserve">recommendation is made on whether to accept or reject the field test item. </w:t>
      </w:r>
    </w:p>
    <w:p w14:paraId="52FA3A24" w14:textId="77777777" w:rsidR="00050A38" w:rsidRPr="003B2AB8" w:rsidRDefault="00050A38" w:rsidP="001C0BF1">
      <w:pPr>
        <w:pStyle w:val="HBodyText"/>
      </w:pPr>
    </w:p>
    <w:p w14:paraId="71B550CE" w14:textId="77777777" w:rsidR="00B23B88" w:rsidRPr="003B2AB8" w:rsidRDefault="003F2942" w:rsidP="003F2942">
      <w:pPr>
        <w:pStyle w:val="HLevel3"/>
        <w:rPr>
          <w:noProof w:val="0"/>
        </w:rPr>
      </w:pPr>
      <w:bookmarkStart w:id="32" w:name="_Toc446343628"/>
      <w:r w:rsidRPr="003B2AB8">
        <w:rPr>
          <w:noProof w:val="0"/>
        </w:rPr>
        <w:t xml:space="preserve">3. </w:t>
      </w:r>
      <w:r w:rsidR="00B23B88" w:rsidRPr="003B2AB8">
        <w:rPr>
          <w:noProof w:val="0"/>
        </w:rPr>
        <w:t>Construct Test Forms</w:t>
      </w:r>
      <w:bookmarkEnd w:id="32"/>
    </w:p>
    <w:p w14:paraId="53E9D197" w14:textId="1728E7E1" w:rsidR="008C27B3" w:rsidRPr="003B2AB8" w:rsidRDefault="00666B3E" w:rsidP="008C27B3">
      <w:pPr>
        <w:pStyle w:val="HBodyText"/>
      </w:pPr>
      <w:r w:rsidRPr="003B2AB8">
        <w:t xml:space="preserve">Test form construction </w:t>
      </w:r>
      <w:r w:rsidR="008C27B3" w:rsidRPr="003B2AB8">
        <w:t xml:space="preserve">is critical for ensuring the items that are ultimately administered to students cover the breadth of the content that is defined as testable within the </w:t>
      </w:r>
      <w:r w:rsidR="00EF5CA8">
        <w:t xml:space="preserve">blueprint </w:t>
      </w:r>
      <w:r w:rsidR="008C27B3" w:rsidRPr="003B2AB8">
        <w:t xml:space="preserve">specifications. </w:t>
      </w:r>
      <w:r w:rsidR="00741CEC" w:rsidRPr="003B2AB8">
        <w:t>Forms are typical</w:t>
      </w:r>
      <w:r w:rsidR="00941C33" w:rsidRPr="003B2AB8">
        <w:t>ly</w:t>
      </w:r>
      <w:r w:rsidR="00741CEC" w:rsidRPr="003B2AB8">
        <w:t xml:space="preserve"> constructed to ensure coverage of testable content and to </w:t>
      </w:r>
      <w:r w:rsidR="00CF569D" w:rsidRPr="003B2AB8">
        <w:t xml:space="preserve">optimize the number of </w:t>
      </w:r>
      <w:r w:rsidR="00741CEC" w:rsidRPr="003B2AB8">
        <w:t>items</w:t>
      </w:r>
      <w:r w:rsidR="00CF569D" w:rsidRPr="003B2AB8">
        <w:t xml:space="preserve"> include</w:t>
      </w:r>
      <w:r w:rsidR="00741CEC" w:rsidRPr="003B2AB8">
        <w:t xml:space="preserve"> with high levels of discrimination </w:t>
      </w:r>
      <w:r w:rsidR="00CF569D" w:rsidRPr="003B2AB8">
        <w:t xml:space="preserve">that span across the ability </w:t>
      </w:r>
      <w:r w:rsidR="00741CEC" w:rsidRPr="003B2AB8">
        <w:t xml:space="preserve">range. The former supports validity evidence for scores, while </w:t>
      </w:r>
      <w:r w:rsidR="00CF569D" w:rsidRPr="003B2AB8">
        <w:t>t</w:t>
      </w:r>
      <w:r w:rsidR="00741CEC" w:rsidRPr="003B2AB8">
        <w:t>he lat</w:t>
      </w:r>
      <w:r w:rsidR="00941C33" w:rsidRPr="003B2AB8">
        <w:t>t</w:t>
      </w:r>
      <w:r w:rsidR="00741CEC" w:rsidRPr="003B2AB8">
        <w:t xml:space="preserve">er </w:t>
      </w:r>
      <w:r w:rsidR="003B2EEC" w:rsidRPr="003B2AB8">
        <w:t xml:space="preserve">supports reliability evidence. </w:t>
      </w:r>
    </w:p>
    <w:p w14:paraId="4C1A7747" w14:textId="77777777" w:rsidR="001C0BF1" w:rsidRPr="003B2AB8" w:rsidRDefault="001C0BF1" w:rsidP="001C0BF1">
      <w:pPr>
        <w:pStyle w:val="HBodyText"/>
      </w:pPr>
    </w:p>
    <w:p w14:paraId="2E5ECE70" w14:textId="77777777" w:rsidR="001C0BF1" w:rsidRPr="003B2AB8" w:rsidRDefault="001C0BF1" w:rsidP="00B23B88">
      <w:pPr>
        <w:pStyle w:val="HLevel4"/>
        <w:rPr>
          <w:lang w:val="en-US"/>
        </w:rPr>
      </w:pPr>
      <w:r w:rsidRPr="003B2AB8">
        <w:rPr>
          <w:lang w:val="en-US"/>
        </w:rPr>
        <w:t>3.1</w:t>
      </w:r>
      <w:r w:rsidR="003B2EEC" w:rsidRPr="003B2AB8">
        <w:rPr>
          <w:lang w:val="en-US"/>
        </w:rPr>
        <w:t>.</w:t>
      </w:r>
      <w:r w:rsidRPr="003B2AB8">
        <w:rPr>
          <w:lang w:val="en-US"/>
        </w:rPr>
        <w:t xml:space="preserve"> Build </w:t>
      </w:r>
      <w:r w:rsidR="003B2EEC" w:rsidRPr="003B2AB8">
        <w:rPr>
          <w:lang w:val="en-US"/>
        </w:rPr>
        <w:t>c</w:t>
      </w:r>
      <w:r w:rsidRPr="003B2AB8">
        <w:rPr>
          <w:lang w:val="en-US"/>
        </w:rPr>
        <w:t>ontent coverage into test forms</w:t>
      </w:r>
      <w:r w:rsidR="003B2EEC" w:rsidRPr="003B2AB8">
        <w:rPr>
          <w:lang w:val="en-US"/>
        </w:rPr>
        <w:t>.</w:t>
      </w:r>
    </w:p>
    <w:p w14:paraId="06226AE5" w14:textId="784E448A" w:rsidR="001C0BF1" w:rsidRPr="003B2AB8" w:rsidRDefault="00DB6D8D" w:rsidP="001C0BF1">
      <w:pPr>
        <w:pStyle w:val="HBodyText"/>
      </w:pPr>
      <w:r>
        <w:t>The blueprint provides a count of the number of items from each TEKS expectation that should be included on a test form.</w:t>
      </w:r>
      <w:r w:rsidR="00453977">
        <w:t xml:space="preserve"> </w:t>
      </w:r>
      <w:r w:rsidR="00A12BAC">
        <w:t xml:space="preserve">Verifying that </w:t>
      </w:r>
      <w:r w:rsidR="00453977">
        <w:t xml:space="preserve">test forms include the correct number of items from each TEKS expectation is a </w:t>
      </w:r>
      <w:r w:rsidR="001C0BF1" w:rsidRPr="003B2AB8">
        <w:t>straightforward matter of counting items and</w:t>
      </w:r>
      <w:r w:rsidR="00453977">
        <w:t xml:space="preserve"> matching blueprint percentages</w:t>
      </w:r>
      <w:r w:rsidR="001C0BF1" w:rsidRPr="003B2AB8">
        <w:t xml:space="preserve">. These processes are summarized in the Chapter </w:t>
      </w:r>
      <w:r w:rsidR="00CF569D" w:rsidRPr="003B2AB8">
        <w:t>2 and Chapter 4</w:t>
      </w:r>
      <w:r w:rsidR="001C0BF1" w:rsidRPr="003B2AB8">
        <w:t xml:space="preserve"> of the Technical Digest.</w:t>
      </w:r>
      <w:r w:rsidR="00050A38" w:rsidRPr="003B2AB8">
        <w:t xml:space="preserve"> Additionally, </w:t>
      </w:r>
      <w:r w:rsidR="00453977">
        <w:t xml:space="preserve">under </w:t>
      </w:r>
      <w:r w:rsidR="00050A38" w:rsidRPr="003B2AB8">
        <w:t>Task 1 of this report</w:t>
      </w:r>
      <w:r w:rsidR="00453977">
        <w:t>, we</w:t>
      </w:r>
      <w:r w:rsidR="00050A38" w:rsidRPr="003B2AB8">
        <w:t xml:space="preserve"> reviewed the 2016 STAAR forms and verified that the item content on each form matches those specified in the blueprint. </w:t>
      </w:r>
    </w:p>
    <w:p w14:paraId="716B7C40" w14:textId="77777777" w:rsidR="001C0BF1" w:rsidRPr="003B2AB8" w:rsidRDefault="001C0BF1" w:rsidP="001C0BF1">
      <w:pPr>
        <w:pStyle w:val="HBodyText"/>
      </w:pPr>
    </w:p>
    <w:p w14:paraId="438A91C5" w14:textId="77777777" w:rsidR="001C0BF1" w:rsidRPr="003B2AB8" w:rsidRDefault="001C0BF1" w:rsidP="00B23B88">
      <w:pPr>
        <w:pStyle w:val="HLevel4"/>
        <w:rPr>
          <w:lang w:val="en-US"/>
        </w:rPr>
      </w:pPr>
      <w:r w:rsidRPr="003B2AB8">
        <w:rPr>
          <w:lang w:val="en-US"/>
        </w:rPr>
        <w:t>3.2</w:t>
      </w:r>
      <w:r w:rsidR="003B2EEC" w:rsidRPr="003B2AB8">
        <w:rPr>
          <w:lang w:val="en-US"/>
        </w:rPr>
        <w:t>.</w:t>
      </w:r>
      <w:r w:rsidRPr="003B2AB8">
        <w:rPr>
          <w:lang w:val="en-US"/>
        </w:rPr>
        <w:t xml:space="preserve"> Build reliability expectations into test forms</w:t>
      </w:r>
      <w:r w:rsidR="003B2EEC" w:rsidRPr="003B2AB8">
        <w:rPr>
          <w:lang w:val="en-US"/>
        </w:rPr>
        <w:t>.</w:t>
      </w:r>
    </w:p>
    <w:p w14:paraId="041D86E8" w14:textId="770BEAC3" w:rsidR="00741CEC" w:rsidRPr="003B2AB8" w:rsidRDefault="00876079" w:rsidP="0004516A">
      <w:pPr>
        <w:pStyle w:val="HBodyText"/>
      </w:pPr>
      <w:r>
        <w:t>The</w:t>
      </w:r>
      <w:r w:rsidR="001C0BF1" w:rsidRPr="003B2AB8">
        <w:t xml:space="preserve"> IRT Rasch Model used by TEA to convert points for individual items into reported test scores</w:t>
      </w:r>
      <w:r>
        <w:t xml:space="preserve"> drives the statistical considerations for test form construction</w:t>
      </w:r>
      <w:r w:rsidR="001C0BF1" w:rsidRPr="003B2AB8">
        <w:t xml:space="preserve">. Basically, each assessment </w:t>
      </w:r>
      <w:r>
        <w:t xml:space="preserve">should </w:t>
      </w:r>
      <w:r w:rsidR="001C0BF1" w:rsidRPr="003B2AB8">
        <w:t>have an array of items with varying degrees of difficulty, particularly around the score points that define differences between performance categories. This statistical consideration supports test reliability, particularly</w:t>
      </w:r>
      <w:r w:rsidR="00050A38" w:rsidRPr="003B2AB8">
        <w:t xml:space="preserve"> as computed by the concept of </w:t>
      </w:r>
      <w:r w:rsidR="00741CEC" w:rsidRPr="003B2AB8">
        <w:t>CSEM</w:t>
      </w:r>
      <w:r w:rsidR="00050A38" w:rsidRPr="003B2AB8">
        <w:t>.</w:t>
      </w:r>
      <w:r w:rsidR="00A12BAC">
        <w:t xml:space="preserve"> </w:t>
      </w:r>
      <w:r w:rsidR="0004516A" w:rsidRPr="003B2AB8">
        <w:t>TEA provided H</w:t>
      </w:r>
      <w:r w:rsidR="006840E8" w:rsidRPr="003B2AB8">
        <w:t xml:space="preserve">umRRO with documentation </w:t>
      </w:r>
      <w:r w:rsidR="00A12BAC">
        <w:t>on the statistical criteria used for</w:t>
      </w:r>
      <w:r w:rsidR="006840E8" w:rsidRPr="003B2AB8">
        <w:t xml:space="preserve"> </w:t>
      </w:r>
      <w:r w:rsidR="0004516A" w:rsidRPr="003B2AB8">
        <w:t xml:space="preserve">test construction. </w:t>
      </w:r>
      <w:r>
        <w:t xml:space="preserve">These criteria </w:t>
      </w:r>
      <w:r w:rsidR="00A12BAC">
        <w:t>specified the following</w:t>
      </w:r>
      <w:r>
        <w:t>:</w:t>
      </w:r>
      <w:r w:rsidR="0004516A" w:rsidRPr="003B2AB8">
        <w:t xml:space="preserve"> </w:t>
      </w:r>
      <w:r w:rsidR="00A12BAC">
        <w:t xml:space="preserve">(a) include items with </w:t>
      </w:r>
      <w:r w:rsidR="0004516A" w:rsidRPr="003B2AB8">
        <w:t xml:space="preserve">wide range of item difficulties, </w:t>
      </w:r>
      <w:r w:rsidR="00A12BAC">
        <w:t>(b) excluding</w:t>
      </w:r>
      <w:r w:rsidR="0004516A" w:rsidRPr="003B2AB8">
        <w:t xml:space="preserve"> items that are too hard or too easy, and </w:t>
      </w:r>
      <w:r w:rsidR="00A12BAC">
        <w:t xml:space="preserve">(c) </w:t>
      </w:r>
      <w:r w:rsidR="0004516A" w:rsidRPr="003B2AB8">
        <w:t xml:space="preserve">avoiding items with low item total correlations, which would indicate </w:t>
      </w:r>
      <w:r w:rsidR="006840E8" w:rsidRPr="003B2AB8">
        <w:t>an</w:t>
      </w:r>
      <w:r w:rsidR="0004516A" w:rsidRPr="003B2AB8">
        <w:t xml:space="preserve"> item does not relate</w:t>
      </w:r>
      <w:r w:rsidR="006840E8" w:rsidRPr="003B2AB8">
        <w:t xml:space="preserve"> highly</w:t>
      </w:r>
      <w:r w:rsidR="0004516A" w:rsidRPr="003B2AB8">
        <w:t xml:space="preserve"> to other items on the test.</w:t>
      </w:r>
      <w:r w:rsidR="00050A38" w:rsidRPr="003B2AB8">
        <w:t xml:space="preserve"> </w:t>
      </w:r>
      <w:r w:rsidR="0004516A" w:rsidRPr="003B2AB8">
        <w:t>Appendix B of the Technical Digest</w:t>
      </w:r>
      <w:r w:rsidR="006840E8" w:rsidRPr="003B2AB8">
        <w:rPr>
          <w:rStyle w:val="FootnoteReference"/>
        </w:rPr>
        <w:footnoteReference w:id="18"/>
      </w:r>
      <w:r w:rsidR="0004516A" w:rsidRPr="003B2AB8">
        <w:t xml:space="preserve"> show</w:t>
      </w:r>
      <w:r w:rsidR="003B2AB8">
        <w:t>s</w:t>
      </w:r>
      <w:r w:rsidR="0004516A" w:rsidRPr="003B2AB8">
        <w:t xml:space="preserve"> acceptable CSEM for the 2015 test scores</w:t>
      </w:r>
      <w:r w:rsidR="003B2AB8">
        <w:t>,</w:t>
      </w:r>
      <w:r w:rsidR="0004516A" w:rsidRPr="003B2AB8">
        <w:t xml:space="preserve"> and the projected CSEM estimates reported in </w:t>
      </w:r>
      <w:r w:rsidR="00CF569D" w:rsidRPr="003B2AB8">
        <w:t>Task 2</w:t>
      </w:r>
      <w:r w:rsidR="008C4732">
        <w:t xml:space="preserve"> provide</w:t>
      </w:r>
      <w:r w:rsidR="0004516A" w:rsidRPr="003B2AB8">
        <w:t xml:space="preserve"> evidence that the testing building process has adequately built reliability expectations into the test forms. </w:t>
      </w:r>
    </w:p>
    <w:p w14:paraId="7BCD3184" w14:textId="77777777" w:rsidR="001C0BF1" w:rsidRPr="003B2AB8" w:rsidRDefault="001C0BF1" w:rsidP="001C0BF1">
      <w:pPr>
        <w:pStyle w:val="HBodyText"/>
      </w:pPr>
    </w:p>
    <w:p w14:paraId="09F1A0D9" w14:textId="77777777" w:rsidR="001C0BF1" w:rsidRPr="003B2AB8" w:rsidRDefault="001C0BF1" w:rsidP="00B23B88">
      <w:pPr>
        <w:pStyle w:val="HLevel3"/>
        <w:rPr>
          <w:noProof w:val="0"/>
        </w:rPr>
      </w:pPr>
      <w:bookmarkStart w:id="33" w:name="_Toc446343629"/>
      <w:r w:rsidRPr="003B2AB8">
        <w:rPr>
          <w:noProof w:val="0"/>
        </w:rPr>
        <w:t xml:space="preserve">4. Administer </w:t>
      </w:r>
      <w:r w:rsidR="003B2EEC" w:rsidRPr="003B2AB8">
        <w:rPr>
          <w:noProof w:val="0"/>
        </w:rPr>
        <w:t>T</w:t>
      </w:r>
      <w:r w:rsidRPr="003B2AB8">
        <w:rPr>
          <w:noProof w:val="0"/>
        </w:rPr>
        <w:t>ests</w:t>
      </w:r>
      <w:bookmarkEnd w:id="33"/>
    </w:p>
    <w:p w14:paraId="052BAEE8" w14:textId="19C74FC6" w:rsidR="001C0BF1" w:rsidRPr="003B2AB8" w:rsidRDefault="001C0BF1" w:rsidP="001C0BF1">
      <w:pPr>
        <w:pStyle w:val="HBodyText"/>
      </w:pPr>
      <w:r w:rsidRPr="003B2AB8">
        <w:t xml:space="preserve">In order for students’ scores to have the same meaning, test administration must be consistent across students when scores are being interpreted within a given year and they must be consistent across years when scores are being interpreted as achievement gains across years. </w:t>
      </w:r>
      <w:r w:rsidR="006840E8" w:rsidRPr="003B2AB8">
        <w:t xml:space="preserve">TEA </w:t>
      </w:r>
      <w:r w:rsidR="008C4732">
        <w:t>provides</w:t>
      </w:r>
      <w:r w:rsidRPr="003B2AB8">
        <w:t xml:space="preserve"> instructions to all personnel involved in administering </w:t>
      </w:r>
      <w:r w:rsidR="006840E8" w:rsidRPr="003B2AB8">
        <w:t>tests to students, through test administration manuals.</w:t>
      </w:r>
      <w:r w:rsidRPr="003B2AB8">
        <w:rPr>
          <w:rStyle w:val="FootnoteReference"/>
        </w:rPr>
        <w:footnoteReference w:id="19"/>
      </w:r>
      <w:r w:rsidR="008C4732">
        <w:t xml:space="preserve"> </w:t>
      </w:r>
      <w:r w:rsidR="006840E8" w:rsidRPr="003B2AB8">
        <w:t>T</w:t>
      </w:r>
      <w:r w:rsidRPr="003B2AB8">
        <w:t xml:space="preserve">he documentation </w:t>
      </w:r>
      <w:r w:rsidR="006840E8" w:rsidRPr="003B2AB8">
        <w:t xml:space="preserve">provided by TEA </w:t>
      </w:r>
      <w:r w:rsidRPr="003B2AB8">
        <w:t>is extensive</w:t>
      </w:r>
      <w:r w:rsidR="008C4732">
        <w:t xml:space="preserve"> and</w:t>
      </w:r>
      <w:r w:rsidRPr="003B2AB8">
        <w:t xml:space="preserve"> sufficient </w:t>
      </w:r>
      <w:r w:rsidR="00EF5CA8">
        <w:t>time</w:t>
      </w:r>
      <w:r w:rsidRPr="003B2AB8">
        <w:t xml:space="preserve"> must be allocated for administrator preparation.</w:t>
      </w:r>
      <w:r w:rsidR="006840E8" w:rsidRPr="003B2AB8">
        <w:t xml:space="preserve"> To the extent that test administrators adequately prepare for the test administration and consistently follow the instructions provided by TEA, will ensure scores have the same meaning within a given year and across years. </w:t>
      </w:r>
    </w:p>
    <w:p w14:paraId="77E1BA1E" w14:textId="77777777" w:rsidR="00B23B88" w:rsidRPr="003B2AB8" w:rsidRDefault="00B23B88" w:rsidP="001C0BF1">
      <w:pPr>
        <w:pStyle w:val="HBodyText"/>
      </w:pPr>
    </w:p>
    <w:p w14:paraId="29AE07D0" w14:textId="77777777" w:rsidR="00B23B88" w:rsidRPr="003B2AB8" w:rsidRDefault="00B23B88" w:rsidP="00B23B88">
      <w:pPr>
        <w:pStyle w:val="HLevel3"/>
        <w:rPr>
          <w:noProof w:val="0"/>
        </w:rPr>
      </w:pPr>
      <w:bookmarkStart w:id="34" w:name="_Toc446343630"/>
      <w:r w:rsidRPr="003B2AB8">
        <w:rPr>
          <w:noProof w:val="0"/>
        </w:rPr>
        <w:t>5. Create Test Scores</w:t>
      </w:r>
      <w:bookmarkEnd w:id="34"/>
    </w:p>
    <w:p w14:paraId="0882FE96" w14:textId="11626CFB" w:rsidR="003425C3" w:rsidRPr="003B2AB8" w:rsidRDefault="00F37FDB" w:rsidP="003425C3">
      <w:pPr>
        <w:pStyle w:val="HBodyText"/>
      </w:pPr>
      <w:r>
        <w:t>Tests</w:t>
      </w:r>
      <w:r w:rsidR="003425C3" w:rsidRPr="003B2AB8">
        <w:t xml:space="preserve"> are administered each spring to students with the intent of </w:t>
      </w:r>
      <w:r w:rsidR="004C70E4" w:rsidRPr="003B2AB8">
        <w:t>measur</w:t>
      </w:r>
      <w:r w:rsidR="004C70E4">
        <w:t>ing</w:t>
      </w:r>
      <w:r w:rsidR="003425C3" w:rsidRPr="003B2AB8">
        <w:t xml:space="preserve"> what a student knows and can do in relation to a specific grade and subject. The p</w:t>
      </w:r>
      <w:r w:rsidR="008C4732">
        <w:t>rocesses described above result</w:t>
      </w:r>
      <w:r w:rsidR="003425C3" w:rsidRPr="003B2AB8">
        <w:t xml:space="preserve"> in the creation o</w:t>
      </w:r>
      <w:r w:rsidR="00EF5CA8">
        <w:t xml:space="preserve">f </w:t>
      </w:r>
      <w:r w:rsidR="008C4732">
        <w:t>test form</w:t>
      </w:r>
      <w:r w:rsidR="00EF5CA8">
        <w:t>s</w:t>
      </w:r>
      <w:r w:rsidR="008C4732">
        <w:t>. Students response</w:t>
      </w:r>
      <w:r w:rsidR="003425C3" w:rsidRPr="003B2AB8">
        <w:t xml:space="preserve"> to items on a given test are accumulated to </w:t>
      </w:r>
      <w:r w:rsidR="00EF5CA8">
        <w:t>produce</w:t>
      </w:r>
      <w:r w:rsidR="003425C3" w:rsidRPr="003B2AB8">
        <w:t xml:space="preserve"> a test score that is used to provide feedback on what a student knows and can do. The following procedures are used to create test scores. </w:t>
      </w:r>
    </w:p>
    <w:p w14:paraId="10EFBAC0" w14:textId="77777777" w:rsidR="003425C3" w:rsidRPr="003B2AB8" w:rsidRDefault="003425C3" w:rsidP="003425C3">
      <w:pPr>
        <w:pStyle w:val="HBodyText"/>
      </w:pPr>
    </w:p>
    <w:p w14:paraId="146E743B" w14:textId="77777777" w:rsidR="001C0BF1" w:rsidRPr="003B2AB8" w:rsidRDefault="001C0BF1" w:rsidP="00B23B88">
      <w:pPr>
        <w:pStyle w:val="HLevel4"/>
        <w:rPr>
          <w:lang w:val="en-US"/>
        </w:rPr>
      </w:pPr>
      <w:r w:rsidRPr="003B2AB8">
        <w:rPr>
          <w:lang w:val="en-US"/>
        </w:rPr>
        <w:t>5.1</w:t>
      </w:r>
      <w:r w:rsidR="003B2EEC" w:rsidRPr="003B2AB8">
        <w:rPr>
          <w:lang w:val="en-US"/>
        </w:rPr>
        <w:t>.</w:t>
      </w:r>
      <w:r w:rsidRPr="003B2AB8">
        <w:rPr>
          <w:lang w:val="en-US"/>
        </w:rPr>
        <w:t xml:space="preserve"> Conduct statistical item reviews</w:t>
      </w:r>
      <w:r w:rsidR="003B2EEC" w:rsidRPr="003B2AB8">
        <w:rPr>
          <w:lang w:val="en-US"/>
        </w:rPr>
        <w:t>.</w:t>
      </w:r>
    </w:p>
    <w:p w14:paraId="6C6DC1B7" w14:textId="2AE6950F" w:rsidR="001C0BF1" w:rsidRPr="003B2AB8" w:rsidRDefault="001C0BF1" w:rsidP="001C0BF1">
      <w:pPr>
        <w:pStyle w:val="HBodyText"/>
      </w:pPr>
      <w:r w:rsidRPr="003B2AB8">
        <w:t xml:space="preserve">Statistical item reviews are conducted for both field test items and then again for operational items. </w:t>
      </w:r>
      <w:r w:rsidR="00CD4887" w:rsidRPr="003B2AB8">
        <w:t>Chapter 3 of t</w:t>
      </w:r>
      <w:r w:rsidRPr="003B2AB8">
        <w:t>he Technical Digest lists standard items analyses, including p-values, item-total correlations, Rasch data and item graphs, and differential item functioning (DIF)</w:t>
      </w:r>
      <w:r w:rsidR="00D91D57" w:rsidRPr="003B2AB8">
        <w:t xml:space="preserve"> analyses</w:t>
      </w:r>
      <w:r w:rsidR="00381773" w:rsidRPr="003B2AB8">
        <w:t xml:space="preserve">. </w:t>
      </w:r>
      <w:r w:rsidRPr="003B2AB8">
        <w:t xml:space="preserve">These are typical statistics used for reviewing items </w:t>
      </w:r>
      <w:r w:rsidR="008C4732">
        <w:t xml:space="preserve">and ensuring the items are functioning as expected. </w:t>
      </w:r>
      <w:r w:rsidR="003B2AB8" w:rsidRPr="003B2AB8">
        <w:t xml:space="preserve"> </w:t>
      </w:r>
    </w:p>
    <w:p w14:paraId="49AD71DB" w14:textId="77777777" w:rsidR="001C0BF1" w:rsidRPr="003B2AB8" w:rsidRDefault="001C0BF1" w:rsidP="00164868">
      <w:pPr>
        <w:pStyle w:val="HBodyText"/>
      </w:pPr>
    </w:p>
    <w:p w14:paraId="1DF5B973" w14:textId="77777777" w:rsidR="001C0BF1" w:rsidRPr="003B2AB8" w:rsidRDefault="001C0BF1" w:rsidP="00B23B88">
      <w:pPr>
        <w:pStyle w:val="HLevel4"/>
        <w:rPr>
          <w:lang w:val="en-US"/>
        </w:rPr>
      </w:pPr>
      <w:r w:rsidRPr="003B2AB8">
        <w:rPr>
          <w:lang w:val="en-US"/>
        </w:rPr>
        <w:t>5.2</w:t>
      </w:r>
      <w:r w:rsidR="003B2EEC" w:rsidRPr="003B2AB8">
        <w:rPr>
          <w:lang w:val="en-US"/>
        </w:rPr>
        <w:t>.</w:t>
      </w:r>
      <w:r w:rsidRPr="003B2AB8">
        <w:rPr>
          <w:lang w:val="en-US"/>
        </w:rPr>
        <w:t xml:space="preserve"> Equate to synchronize scores across years</w:t>
      </w:r>
      <w:r w:rsidR="003B2EEC" w:rsidRPr="003B2AB8">
        <w:rPr>
          <w:lang w:val="en-US"/>
        </w:rPr>
        <w:t>.</w:t>
      </w:r>
    </w:p>
    <w:p w14:paraId="76D830EA" w14:textId="79C6D116" w:rsidR="001C0BF1" w:rsidRPr="003B2AB8" w:rsidRDefault="001C0BF1" w:rsidP="001C0BF1">
      <w:pPr>
        <w:pStyle w:val="HBodyText"/>
      </w:pPr>
      <w:r w:rsidRPr="003B2AB8">
        <w:t xml:space="preserve">Items used to compute grade/subject test scores are changed from one year to </w:t>
      </w:r>
      <w:r w:rsidR="005E78E5" w:rsidRPr="003B2AB8">
        <w:t xml:space="preserve">the </w:t>
      </w:r>
      <w:r w:rsidRPr="003B2AB8">
        <w:t>next so that instruction does not become concentrated on</w:t>
      </w:r>
      <w:r w:rsidR="00CF740C" w:rsidRPr="003B2AB8">
        <w:t xml:space="preserve"> particular test items. </w:t>
      </w:r>
      <w:r w:rsidRPr="003B2AB8">
        <w:t xml:space="preserve">While tests across years are targeting the same </w:t>
      </w:r>
      <w:r w:rsidR="00D91D57" w:rsidRPr="003B2AB8">
        <w:t>b</w:t>
      </w:r>
      <w:r w:rsidRPr="003B2AB8">
        <w:t>lueprints and therefore should have equivalent content validity, tests across years ma</w:t>
      </w:r>
      <w:r w:rsidR="00D91D57" w:rsidRPr="003B2AB8">
        <w:t>y</w:t>
      </w:r>
      <w:r w:rsidRPr="003B2AB8">
        <w:t xml:space="preserve"> not be exactly equivalent in terms of the difficulty of the items. This creates a numerical issue for maintain</w:t>
      </w:r>
      <w:r w:rsidR="00BE4AE5" w:rsidRPr="003B2AB8">
        <w:t>ing</w:t>
      </w:r>
      <w:r w:rsidRPr="003B2AB8">
        <w:t xml:space="preserve"> consistency </w:t>
      </w:r>
      <w:r w:rsidR="00FA50C5" w:rsidRPr="003B2AB8">
        <w:t xml:space="preserve">in score meaning across years. </w:t>
      </w:r>
      <w:r w:rsidRPr="003B2AB8">
        <w:t>This issue is solved by what the Technical Digest terms Horizontal Scaling</w:t>
      </w:r>
      <w:r w:rsidR="003200DF" w:rsidRPr="003B2AB8">
        <w:rPr>
          <w:rStyle w:val="FootnoteReference"/>
        </w:rPr>
        <w:footnoteReference w:id="20"/>
      </w:r>
      <w:r w:rsidRPr="003B2AB8">
        <w:t>, typi</w:t>
      </w:r>
      <w:r w:rsidR="00CF740C" w:rsidRPr="003B2AB8">
        <w:t xml:space="preserve">cally referred to as equating. </w:t>
      </w:r>
      <w:r w:rsidRPr="003B2AB8">
        <w:t>The solution involves placing items on the test form that have an established his</w:t>
      </w:r>
      <w:r w:rsidR="00CF740C" w:rsidRPr="003B2AB8">
        <w:t xml:space="preserve">tory. </w:t>
      </w:r>
      <w:r w:rsidRPr="003B2AB8">
        <w:t xml:space="preserve">The difficulties of those equating items can be used </w:t>
      </w:r>
      <w:r w:rsidR="005E78E5" w:rsidRPr="003B2AB8">
        <w:t xml:space="preserve">to </w:t>
      </w:r>
      <w:r w:rsidRPr="003B2AB8">
        <w:t>assess the difficulties of new items using well-established IRT processing, as desc</w:t>
      </w:r>
      <w:r w:rsidR="00CF740C" w:rsidRPr="003B2AB8">
        <w:t xml:space="preserve">ribed in the Technical Digest. </w:t>
      </w:r>
      <w:r w:rsidRPr="003B2AB8">
        <w:t>Apply</w:t>
      </w:r>
      <w:r w:rsidR="00FA50C5" w:rsidRPr="003B2AB8">
        <w:t>ing</w:t>
      </w:r>
      <w:r w:rsidRPr="003B2AB8">
        <w:t xml:space="preserve"> the results yields test scores that become numerically equivalen</w:t>
      </w:r>
      <w:r w:rsidR="00CF740C" w:rsidRPr="003B2AB8">
        <w:t xml:space="preserve">t to prior years’ scores. </w:t>
      </w:r>
      <w:r w:rsidRPr="003B2AB8">
        <w:t>The one hurdle that</w:t>
      </w:r>
      <w:r w:rsidR="00BE4AE5" w:rsidRPr="003B2AB8">
        <w:t>,</w:t>
      </w:r>
      <w:r w:rsidRPr="003B2AB8">
        <w:t xml:space="preserve"> at times</w:t>
      </w:r>
      <w:r w:rsidR="00BE4AE5" w:rsidRPr="003B2AB8">
        <w:t>,</w:t>
      </w:r>
      <w:r w:rsidRPr="003B2AB8">
        <w:t xml:space="preserve"> must be addressed in this equatin</w:t>
      </w:r>
      <w:r w:rsidR="00D97935" w:rsidRPr="003B2AB8">
        <w:t xml:space="preserve">g process is drift in an item. </w:t>
      </w:r>
      <w:r w:rsidRPr="003B2AB8">
        <w:t>Drift is a detectable change in the diff</w:t>
      </w:r>
      <w:r w:rsidR="008C4732">
        <w:t xml:space="preserve">iculty of an item (for example, increased media attention of a specific topic area </w:t>
      </w:r>
      <w:r w:rsidRPr="003B2AB8">
        <w:t>may make an item</w:t>
      </w:r>
      <w:r w:rsidR="00D91D57" w:rsidRPr="003B2AB8">
        <w:t xml:space="preserve"> easier </w:t>
      </w:r>
      <w:r w:rsidR="008C4732">
        <w:t xml:space="preserve">compared to the </w:t>
      </w:r>
      <w:r w:rsidR="007F68E1">
        <w:t>prior year</w:t>
      </w:r>
      <w:r w:rsidR="00D91D57" w:rsidRPr="003B2AB8">
        <w:t xml:space="preserve">). </w:t>
      </w:r>
      <w:r w:rsidR="00381D0A" w:rsidRPr="003B2AB8">
        <w:t xml:space="preserve">STAAR </w:t>
      </w:r>
      <w:r w:rsidR="007F68E1">
        <w:t>e</w:t>
      </w:r>
      <w:r w:rsidR="00381D0A" w:rsidRPr="003B2AB8">
        <w:t xml:space="preserve">quating </w:t>
      </w:r>
      <w:r w:rsidR="007F68E1">
        <w:t>s</w:t>
      </w:r>
      <w:r w:rsidR="00381D0A" w:rsidRPr="003B2AB8">
        <w:t>pecifications</w:t>
      </w:r>
      <w:r w:rsidRPr="003B2AB8">
        <w:t xml:space="preserve"> detail one me</w:t>
      </w:r>
      <w:r w:rsidR="00D91D57" w:rsidRPr="003B2AB8">
        <w:t xml:space="preserve">thod for reviewing item drift. </w:t>
      </w:r>
      <w:r w:rsidRPr="003B2AB8">
        <w:t>HumRRO is familiar with this method and believes that it will produ</w:t>
      </w:r>
      <w:r w:rsidR="007F68E1">
        <w:t>ce acceptable equating results.</w:t>
      </w:r>
    </w:p>
    <w:p w14:paraId="5ED96D6D" w14:textId="77777777" w:rsidR="001C0BF1" w:rsidRPr="003B2AB8" w:rsidRDefault="001C0BF1" w:rsidP="00164868">
      <w:pPr>
        <w:pStyle w:val="HBodyText"/>
      </w:pPr>
    </w:p>
    <w:p w14:paraId="5647E881" w14:textId="77777777" w:rsidR="001C0BF1" w:rsidRPr="003B2AB8" w:rsidRDefault="001C0BF1" w:rsidP="00B23B88">
      <w:pPr>
        <w:pStyle w:val="HLevel4"/>
        <w:rPr>
          <w:lang w:val="en-US"/>
        </w:rPr>
      </w:pPr>
      <w:r w:rsidRPr="003B2AB8">
        <w:rPr>
          <w:lang w:val="en-US"/>
        </w:rPr>
        <w:t>5.3. Produce test form reliability statistics</w:t>
      </w:r>
      <w:r w:rsidR="003B2EEC" w:rsidRPr="003B2AB8">
        <w:rPr>
          <w:lang w:val="en-US"/>
        </w:rPr>
        <w:t>.</w:t>
      </w:r>
    </w:p>
    <w:p w14:paraId="1FAF8B03" w14:textId="4B4A95D3" w:rsidR="001C0BF1" w:rsidRPr="003B2AB8" w:rsidRDefault="001C0BF1" w:rsidP="001C0BF1">
      <w:pPr>
        <w:pStyle w:val="HBodyText"/>
      </w:pPr>
      <w:r w:rsidRPr="003B2AB8">
        <w:t>Chapter 4 of the Technical Digest adequately describes procedures for computing reliability, standard error of measurement, and conditional standard error of measure</w:t>
      </w:r>
      <w:r w:rsidR="005E78E5" w:rsidRPr="003B2AB8">
        <w:t>ment</w:t>
      </w:r>
      <w:r w:rsidRPr="003B2AB8">
        <w:t xml:space="preserve">. </w:t>
      </w:r>
      <w:r w:rsidR="007F68E1">
        <w:t>After the test is administered</w:t>
      </w:r>
      <w:r w:rsidRPr="003B2AB8">
        <w:t>, this process is merely a post-hoc check on the extent to which adequate reliability was built into the test during form cons</w:t>
      </w:r>
      <w:r w:rsidR="00FA50C5" w:rsidRPr="003B2AB8">
        <w:t xml:space="preserve">truction. </w:t>
      </w:r>
    </w:p>
    <w:p w14:paraId="2C74A604" w14:textId="35086FB9" w:rsidR="001C0BF1" w:rsidRPr="003B2AB8" w:rsidRDefault="001C0BF1" w:rsidP="00164868">
      <w:pPr>
        <w:pStyle w:val="HBodyText"/>
      </w:pPr>
    </w:p>
    <w:p w14:paraId="1211BC93" w14:textId="77777777" w:rsidR="001C0BF1" w:rsidRPr="003B2AB8" w:rsidRDefault="001C0BF1" w:rsidP="00B23B88">
      <w:pPr>
        <w:pStyle w:val="HLevel4"/>
        <w:rPr>
          <w:lang w:val="en-US"/>
        </w:rPr>
      </w:pPr>
      <w:r w:rsidRPr="003B2AB8">
        <w:rPr>
          <w:lang w:val="en-US"/>
        </w:rPr>
        <w:t>5.4</w:t>
      </w:r>
      <w:r w:rsidR="00915567" w:rsidRPr="003B2AB8">
        <w:rPr>
          <w:lang w:val="en-US"/>
        </w:rPr>
        <w:t>.</w:t>
      </w:r>
      <w:r w:rsidRPr="003B2AB8">
        <w:rPr>
          <w:lang w:val="en-US"/>
        </w:rPr>
        <w:t xml:space="preserve"> Produce final test scores</w:t>
      </w:r>
      <w:r w:rsidR="00915567" w:rsidRPr="003B2AB8">
        <w:rPr>
          <w:lang w:val="en-US"/>
        </w:rPr>
        <w:t>.</w:t>
      </w:r>
    </w:p>
    <w:p w14:paraId="4D7C1411" w14:textId="13C1B6DC" w:rsidR="001C0BF1" w:rsidRPr="003B2AB8" w:rsidRDefault="001C0BF1" w:rsidP="001C0BF1">
      <w:pPr>
        <w:pStyle w:val="HBodyText"/>
      </w:pPr>
      <w:r w:rsidRPr="003B2AB8">
        <w:t xml:space="preserve">Using the Rasch method for </w:t>
      </w:r>
      <w:r w:rsidR="007F68E1">
        <w:t xml:space="preserve">IRT, </w:t>
      </w:r>
      <w:r w:rsidRPr="003B2AB8">
        <w:t xml:space="preserve">as implemented by </w:t>
      </w:r>
      <w:r w:rsidR="007F68E1">
        <w:rPr>
          <w:rStyle w:val="find0hang020msreg10shiftf4"/>
        </w:rPr>
        <w:t xml:space="preserve">Winsteps® </w:t>
      </w:r>
      <w:r w:rsidRPr="003B2AB8">
        <w:t xml:space="preserve">(noted in the </w:t>
      </w:r>
      <w:r w:rsidR="001737CE">
        <w:t>e</w:t>
      </w:r>
      <w:r w:rsidRPr="003B2AB8">
        <w:t xml:space="preserve">quating </w:t>
      </w:r>
      <w:r w:rsidR="001737CE">
        <w:t>s</w:t>
      </w:r>
      <w:r w:rsidRPr="003B2AB8">
        <w:t>pecifications document)</w:t>
      </w:r>
      <w:r w:rsidR="007F68E1">
        <w:t>,</w:t>
      </w:r>
      <w:r w:rsidRPr="003B2AB8">
        <w:t xml:space="preserve"> involve</w:t>
      </w:r>
      <w:r w:rsidR="00FA50C5" w:rsidRPr="003B2AB8">
        <w:t>s</w:t>
      </w:r>
      <w:r w:rsidRPr="003B2AB8">
        <w:t xml:space="preserve"> reading </w:t>
      </w:r>
      <w:r w:rsidR="007F68E1">
        <w:rPr>
          <w:rStyle w:val="find0hang020msreg10shiftf4"/>
        </w:rPr>
        <w:t xml:space="preserve">Winsteps® </w:t>
      </w:r>
      <w:r w:rsidRPr="003B2AB8">
        <w:t xml:space="preserve">tabled output to </w:t>
      </w:r>
      <w:r w:rsidR="002566DB" w:rsidRPr="003B2AB8">
        <w:t>transform item total points to student ability estimates (</w:t>
      </w:r>
      <w:r w:rsidR="001737CE">
        <w:t xml:space="preserve">i.e., </w:t>
      </w:r>
      <w:r w:rsidR="002566DB" w:rsidRPr="003B2AB8">
        <w:t>IRT theta</w:t>
      </w:r>
      <w:r w:rsidRPr="003B2AB8">
        <w:t xml:space="preserve"> values</w:t>
      </w:r>
      <w:r w:rsidR="002566DB" w:rsidRPr="003B2AB8">
        <w:t>)</w:t>
      </w:r>
      <w:r w:rsidR="00381773" w:rsidRPr="003B2AB8">
        <w:t xml:space="preserve">. </w:t>
      </w:r>
      <w:r w:rsidRPr="003B2AB8">
        <w:t>Theta values are on a scale that contains negative values so it is common practice to algebraically transform thos</w:t>
      </w:r>
      <w:r w:rsidR="00CF740C" w:rsidRPr="003B2AB8">
        <w:t xml:space="preserve">e values </w:t>
      </w:r>
      <w:r w:rsidR="00BE4AE5" w:rsidRPr="003B2AB8">
        <w:t xml:space="preserve">to </w:t>
      </w:r>
      <w:r w:rsidR="00CF740C" w:rsidRPr="003B2AB8">
        <w:t xml:space="preserve">a reporting scale. </w:t>
      </w:r>
      <w:r w:rsidRPr="003B2AB8">
        <w:t xml:space="preserve">This is </w:t>
      </w:r>
      <w:r w:rsidR="00D91D57" w:rsidRPr="003B2AB8">
        <w:t>a simple linear transformation</w:t>
      </w:r>
      <w:r w:rsidR="00BE4AE5" w:rsidRPr="003B2AB8">
        <w:t xml:space="preserve"> </w:t>
      </w:r>
      <w:r w:rsidRPr="003B2AB8">
        <w:t xml:space="preserve">that does not impact validity or reliability. </w:t>
      </w:r>
    </w:p>
    <w:p w14:paraId="2C1AA0A6" w14:textId="77777777" w:rsidR="001C0BF1" w:rsidRPr="003B2AB8" w:rsidRDefault="001C0BF1" w:rsidP="001C0BF1">
      <w:pPr>
        <w:pStyle w:val="HBodyText"/>
      </w:pPr>
    </w:p>
    <w:p w14:paraId="1491DD4B" w14:textId="77777777" w:rsidR="001C0BF1" w:rsidRPr="003B2AB8" w:rsidRDefault="001C0BF1" w:rsidP="00DF2682">
      <w:pPr>
        <w:pStyle w:val="HLevel2"/>
        <w:rPr>
          <w:noProof w:val="0"/>
        </w:rPr>
      </w:pPr>
      <w:bookmarkStart w:id="35" w:name="_Toc446343631"/>
      <w:r w:rsidRPr="003B2AB8">
        <w:rPr>
          <w:noProof w:val="0"/>
        </w:rPr>
        <w:t>Task 3 Conclusion</w:t>
      </w:r>
      <w:bookmarkEnd w:id="35"/>
    </w:p>
    <w:p w14:paraId="3AE349AF" w14:textId="68F73AF2" w:rsidR="00CD4887" w:rsidRPr="003B2AB8" w:rsidRDefault="008C5228" w:rsidP="001C0BF1">
      <w:pPr>
        <w:pStyle w:val="HBodyText"/>
      </w:pPr>
      <w:r w:rsidRPr="003B2AB8">
        <w:t>HumRRO reviewed the</w:t>
      </w:r>
      <w:r w:rsidR="001C0BF1" w:rsidRPr="003B2AB8">
        <w:t xml:space="preserve"> processes </w:t>
      </w:r>
      <w:r w:rsidRPr="003B2AB8">
        <w:t xml:space="preserve">used </w:t>
      </w:r>
      <w:r w:rsidR="00FA50C5" w:rsidRPr="003B2AB8">
        <w:t xml:space="preserve">to </w:t>
      </w:r>
      <w:r w:rsidR="001C0BF1" w:rsidRPr="003B2AB8">
        <w:t xml:space="preserve">create STAAR </w:t>
      </w:r>
      <w:r w:rsidR="00FA50C5" w:rsidRPr="003B2AB8">
        <w:t>test forms and the planned procedures for creating on-grade</w:t>
      </w:r>
      <w:r w:rsidR="00666B3E" w:rsidRPr="003B2AB8">
        <w:t xml:space="preserve"> STAAR</w:t>
      </w:r>
      <w:r w:rsidR="00FA50C5" w:rsidRPr="003B2AB8">
        <w:t xml:space="preserve"> student s</w:t>
      </w:r>
      <w:r w:rsidR="00CD4887" w:rsidRPr="003B2AB8">
        <w:t xml:space="preserve">cores. </w:t>
      </w:r>
      <w:r w:rsidR="001C0BF1" w:rsidRPr="003B2AB8">
        <w:t>These scores are intended to be used to compare knowledge and skill achievements of students within and across years for a give</w:t>
      </w:r>
      <w:r w:rsidR="00CD4887" w:rsidRPr="003B2AB8">
        <w:t>n grade/subject. TEA’s test development process is consistent with best practices (Crocker &amp; Algina, 1986) and includes a number of procedures t</w:t>
      </w:r>
      <w:r w:rsidR="00C96A60">
        <w:t>hat allow for the development of</w:t>
      </w:r>
      <w:r w:rsidR="00CD4887" w:rsidRPr="003B2AB8">
        <w:t xml:space="preserve"> </w:t>
      </w:r>
      <w:r w:rsidR="00C96A60">
        <w:t xml:space="preserve">tests that </w:t>
      </w:r>
      <w:r w:rsidR="00CD4887" w:rsidRPr="003B2AB8">
        <w:t xml:space="preserve">measure and align with testable content. </w:t>
      </w:r>
    </w:p>
    <w:p w14:paraId="3C8E8455" w14:textId="77777777" w:rsidR="00CD4887" w:rsidRPr="003B2AB8" w:rsidRDefault="00CD4887" w:rsidP="001C0BF1">
      <w:pPr>
        <w:pStyle w:val="HBodyText"/>
      </w:pPr>
    </w:p>
    <w:p w14:paraId="42778ED7" w14:textId="726F2379" w:rsidR="001C0BF1" w:rsidRPr="003B2AB8" w:rsidRDefault="001C0BF1" w:rsidP="001C0BF1">
      <w:pPr>
        <w:pStyle w:val="HBodyText"/>
      </w:pPr>
      <w:r w:rsidRPr="003B2AB8">
        <w:t>HumRRO believes that these processes are adequate</w:t>
      </w:r>
      <w:r w:rsidR="00CD4887" w:rsidRPr="003B2AB8">
        <w:t xml:space="preserve"> for </w:t>
      </w:r>
      <w:r w:rsidR="008A46BF">
        <w:t>developing tests that</w:t>
      </w:r>
      <w:r w:rsidR="001737CE">
        <w:t xml:space="preserve"> will</w:t>
      </w:r>
      <w:r w:rsidR="008A46BF">
        <w:t xml:space="preserve"> yield </w:t>
      </w:r>
      <w:r w:rsidR="00CD4887" w:rsidRPr="003B2AB8">
        <w:t xml:space="preserve">scores </w:t>
      </w:r>
      <w:r w:rsidR="008A46BF">
        <w:t xml:space="preserve">that </w:t>
      </w:r>
      <w:r w:rsidR="00CD4887" w:rsidRPr="003B2AB8">
        <w:t>can be inter</w:t>
      </w:r>
      <w:r w:rsidR="001737CE">
        <w:t>preted as representing</w:t>
      </w:r>
      <w:r w:rsidR="00CD4887" w:rsidRPr="003B2AB8">
        <w:t xml:space="preserve"> what a student knows and can do</w:t>
      </w:r>
      <w:r w:rsidRPr="003B2AB8">
        <w:t>.</w:t>
      </w:r>
      <w:r w:rsidR="00CD4887" w:rsidRPr="003B2AB8">
        <w:t xml:space="preserve"> Further,</w:t>
      </w:r>
      <w:r w:rsidRPr="003B2AB8">
        <w:t xml:space="preserve"> </w:t>
      </w:r>
      <w:r w:rsidR="00CD4887" w:rsidRPr="003B2AB8">
        <w:t>the test development process ensures that each grade/subject test bears a strong association with on-grade curriculum requirements.</w:t>
      </w:r>
      <w:r w:rsidRPr="003B2AB8">
        <w:t xml:space="preserve"> </w:t>
      </w:r>
    </w:p>
    <w:p w14:paraId="7FAF9F66" w14:textId="77777777" w:rsidR="001C0BF1" w:rsidRPr="003B2AB8" w:rsidRDefault="001C0BF1" w:rsidP="00164868">
      <w:pPr>
        <w:pStyle w:val="HBodyText"/>
      </w:pPr>
    </w:p>
    <w:p w14:paraId="0F830F55" w14:textId="77777777" w:rsidR="001C0BF1" w:rsidRPr="003B2AB8" w:rsidRDefault="00DF2682" w:rsidP="00113149">
      <w:pPr>
        <w:pStyle w:val="HLevel1"/>
      </w:pPr>
      <w:bookmarkStart w:id="36" w:name="_Toc446343632"/>
      <w:r w:rsidRPr="003B2AB8">
        <w:t>Overall Conclusion</w:t>
      </w:r>
      <w:bookmarkEnd w:id="36"/>
    </w:p>
    <w:p w14:paraId="7B983159" w14:textId="4F678FDE" w:rsidR="008C3264" w:rsidRDefault="009B5BCE" w:rsidP="00DE5CFD">
      <w:pPr>
        <w:pStyle w:val="HBodyText"/>
      </w:pPr>
      <w:r w:rsidRPr="003B2AB8">
        <w:t xml:space="preserve">In conclusion, </w:t>
      </w:r>
      <w:r w:rsidR="008A46BF">
        <w:t>HumRRO’s</w:t>
      </w:r>
      <w:r w:rsidRPr="003B2AB8">
        <w:t xml:space="preserve"> </w:t>
      </w:r>
      <w:r w:rsidR="00615EBF" w:rsidRPr="003B2AB8">
        <w:t xml:space="preserve">independent evaluation </w:t>
      </w:r>
      <w:r w:rsidRPr="003B2AB8">
        <w:t xml:space="preserve">finds </w:t>
      </w:r>
      <w:r w:rsidR="008A46BF">
        <w:t xml:space="preserve">support for the validity and reliability of the 2016 STAAR scores. Specifically: </w:t>
      </w:r>
      <w:r w:rsidR="00C96A60">
        <w:t xml:space="preserve"> </w:t>
      </w:r>
    </w:p>
    <w:p w14:paraId="53071502" w14:textId="77777777" w:rsidR="008C3264" w:rsidRDefault="008C3264" w:rsidP="00DE5CFD">
      <w:pPr>
        <w:pStyle w:val="HBodyText"/>
      </w:pPr>
    </w:p>
    <w:p w14:paraId="1C53FD58" w14:textId="59AFAC20" w:rsidR="00AD7A04" w:rsidRPr="003B2AB8" w:rsidRDefault="00AD7A04" w:rsidP="00AD7A04">
      <w:pPr>
        <w:pStyle w:val="HBodyText"/>
      </w:pPr>
      <w:r>
        <w:t xml:space="preserve">Under </w:t>
      </w:r>
      <w:r w:rsidRPr="003B2AB8">
        <w:t>Task 1</w:t>
      </w:r>
      <w:r>
        <w:t>, we identified</w:t>
      </w:r>
      <w:r w:rsidRPr="003B2AB8">
        <w:t xml:space="preserve"> evidence </w:t>
      </w:r>
      <w:r>
        <w:t>of</w:t>
      </w:r>
      <w:r w:rsidRPr="003B2AB8">
        <w:t xml:space="preserve"> the content validity of the assessments. The content review consisted of rating the alignment of each item to the Texas Essential Knowledge and Skills (TEKS) expectation th</w:t>
      </w:r>
      <w:r>
        <w:t xml:space="preserve">e </w:t>
      </w:r>
      <w:r w:rsidRPr="003B2AB8">
        <w:t xml:space="preserve">item was intended to measure. Overall, the content of the 2016 forms aligned with blueprints and the </w:t>
      </w:r>
      <w:r>
        <w:t xml:space="preserve">vast majority of </w:t>
      </w:r>
      <w:r w:rsidRPr="003B2AB8">
        <w:t>items were aligned with the</w:t>
      </w:r>
      <w:r>
        <w:t xml:space="preserve"> TEKS</w:t>
      </w:r>
      <w:r w:rsidRPr="003B2AB8">
        <w:t xml:space="preserve"> expect</w:t>
      </w:r>
      <w:r>
        <w:t xml:space="preserve">ations for </w:t>
      </w:r>
      <w:r w:rsidR="0098698C" w:rsidRPr="003B2AB8">
        <w:t>grades 5 and 8 mathematics and reading and grades 4 and 7 writing.</w:t>
      </w:r>
    </w:p>
    <w:p w14:paraId="5D2AE23F" w14:textId="77777777" w:rsidR="00AD7A04" w:rsidRPr="003B2AB8" w:rsidRDefault="00AD7A04" w:rsidP="00AD7A04">
      <w:pPr>
        <w:pStyle w:val="HBodyText"/>
      </w:pPr>
    </w:p>
    <w:p w14:paraId="51367D74" w14:textId="77777777" w:rsidR="00AD7A04" w:rsidRPr="003B2AB8" w:rsidRDefault="00AD7A04" w:rsidP="00AD7A04">
      <w:pPr>
        <w:pStyle w:val="HBodyText"/>
      </w:pPr>
      <w:r>
        <w:t xml:space="preserve">Our work associated with </w:t>
      </w:r>
      <w:r w:rsidRPr="003B2AB8">
        <w:t xml:space="preserve">Task 2 provided empirical evidence of the projected reliability and standard error of measurement for the 2016 forms. The projected reliability </w:t>
      </w:r>
      <w:r>
        <w:t>and conditional standard error of measurement</w:t>
      </w:r>
      <w:r w:rsidRPr="003B2AB8">
        <w:t xml:space="preserve"> </w:t>
      </w:r>
      <w:r>
        <w:t xml:space="preserve">(CSEM) estimates </w:t>
      </w:r>
      <w:r w:rsidRPr="003B2AB8">
        <w:t xml:space="preserve">were all acceptable. Assuming the 2016 students’ scores will have a similar distribution as the 2015 scores and assuming similar item functioning, the reliability </w:t>
      </w:r>
      <w:r>
        <w:t xml:space="preserve">and CSEM </w:t>
      </w:r>
      <w:r w:rsidRPr="003B2AB8">
        <w:t xml:space="preserve">estimates based on 2016 student data should be similarly acceptable. </w:t>
      </w:r>
    </w:p>
    <w:p w14:paraId="32779A91" w14:textId="77777777" w:rsidR="00AD7A04" w:rsidRPr="003B2AB8" w:rsidRDefault="00AD7A04" w:rsidP="00AD7A04">
      <w:pPr>
        <w:pStyle w:val="HBodyText"/>
      </w:pPr>
    </w:p>
    <w:p w14:paraId="317174D5" w14:textId="77777777" w:rsidR="00AD7A04" w:rsidRPr="003B2AB8" w:rsidRDefault="00AD7A04" w:rsidP="00AD7A04">
      <w:pPr>
        <w:pStyle w:val="HBodyText"/>
      </w:pPr>
      <w:r w:rsidRPr="003B2AB8">
        <w:t xml:space="preserve">Finally, </w:t>
      </w:r>
      <w:r>
        <w:t xml:space="preserve">under Task 3, we </w:t>
      </w:r>
      <w:r w:rsidRPr="003B2AB8">
        <w:t>review</w:t>
      </w:r>
      <w:r>
        <w:t>ed</w:t>
      </w:r>
      <w:r w:rsidRPr="003B2AB8">
        <w:t xml:space="preserve"> the documentation of the test construction and scoring processes. Based on HumRRO’s 20 years of experience in student achievement testing</w:t>
      </w:r>
      <w:r>
        <w:t xml:space="preserve"> and 30 years of experience in high-stakes test construction</w:t>
      </w:r>
      <w:r w:rsidRPr="003B2AB8">
        <w:t>, the process</w:t>
      </w:r>
      <w:r>
        <w:t>es</w:t>
      </w:r>
      <w:r w:rsidRPr="003B2AB8">
        <w:t xml:space="preserve"> used to construct the 2016 tests and the proposed methods for scoring the 2016 test are consistent with industry standards and support the development of tests that measure the knowledge and skills outlined in the content standards and test blueprint. The processes</w:t>
      </w:r>
      <w:r>
        <w:t xml:space="preserve"> allow for the</w:t>
      </w:r>
      <w:r w:rsidRPr="003B2AB8">
        <w:t xml:space="preserve"> development </w:t>
      </w:r>
      <w:r>
        <w:t>of tests that yield valid</w:t>
      </w:r>
      <w:r w:rsidRPr="003B2AB8">
        <w:t xml:space="preserve"> and reliable assessment scores. </w:t>
      </w:r>
    </w:p>
    <w:p w14:paraId="3C389099" w14:textId="77777777" w:rsidR="007C3FA7" w:rsidRPr="003B2AB8" w:rsidRDefault="007C3FA7" w:rsidP="00DE5CFD">
      <w:pPr>
        <w:pStyle w:val="HBodyText"/>
        <w:sectPr w:rsidR="007C3FA7" w:rsidRPr="003B2AB8" w:rsidSect="007B49B0">
          <w:pgSz w:w="12240" w:h="15840" w:code="1"/>
          <w:pgMar w:top="1440" w:right="1440" w:bottom="1440" w:left="1440" w:header="720" w:footer="720" w:gutter="0"/>
          <w:pgNumType w:start="1"/>
          <w:cols w:space="720"/>
          <w:docGrid w:linePitch="299"/>
        </w:sectPr>
      </w:pPr>
    </w:p>
    <w:p w14:paraId="61101087" w14:textId="77777777" w:rsidR="00990186" w:rsidRPr="003B2AB8" w:rsidRDefault="00DE5CFD" w:rsidP="00113149">
      <w:pPr>
        <w:pStyle w:val="HLevel1"/>
      </w:pPr>
      <w:bookmarkStart w:id="37" w:name="_Toc446343633"/>
      <w:r w:rsidRPr="003B2AB8">
        <w:t>References</w:t>
      </w:r>
      <w:bookmarkEnd w:id="37"/>
    </w:p>
    <w:p w14:paraId="4056E7CE" w14:textId="77777777" w:rsidR="00CD4887" w:rsidRPr="003B2AB8" w:rsidRDefault="00CD4887" w:rsidP="00CD4887">
      <w:pPr>
        <w:widowControl w:val="0"/>
        <w:tabs>
          <w:tab w:val="left" w:pos="4240"/>
        </w:tabs>
        <w:spacing w:line="240" w:lineRule="atLeast"/>
        <w:ind w:left="540" w:hanging="540"/>
        <w:rPr>
          <w:szCs w:val="22"/>
        </w:rPr>
      </w:pPr>
      <w:r w:rsidRPr="003B2AB8">
        <w:rPr>
          <w:szCs w:val="22"/>
        </w:rPr>
        <w:t xml:space="preserve">Crocker, L., </w:t>
      </w:r>
      <w:r w:rsidR="00915567" w:rsidRPr="003B2AB8">
        <w:rPr>
          <w:szCs w:val="22"/>
        </w:rPr>
        <w:t>&amp;</w:t>
      </w:r>
      <w:r w:rsidRPr="003B2AB8">
        <w:rPr>
          <w:szCs w:val="22"/>
        </w:rPr>
        <w:t xml:space="preserve"> Algina, J. (1986). </w:t>
      </w:r>
      <w:r w:rsidRPr="003B2AB8">
        <w:rPr>
          <w:i/>
          <w:szCs w:val="22"/>
        </w:rPr>
        <w:t xml:space="preserve">Introduction to </w:t>
      </w:r>
      <w:r w:rsidR="00915567" w:rsidRPr="003B2AB8">
        <w:rPr>
          <w:i/>
          <w:szCs w:val="22"/>
        </w:rPr>
        <w:t>c</w:t>
      </w:r>
      <w:r w:rsidRPr="003B2AB8">
        <w:rPr>
          <w:i/>
          <w:szCs w:val="22"/>
        </w:rPr>
        <w:t xml:space="preserve">lassical and </w:t>
      </w:r>
      <w:r w:rsidR="00915567" w:rsidRPr="003B2AB8">
        <w:rPr>
          <w:i/>
          <w:szCs w:val="22"/>
        </w:rPr>
        <w:t>m</w:t>
      </w:r>
      <w:r w:rsidRPr="003B2AB8">
        <w:rPr>
          <w:i/>
          <w:szCs w:val="22"/>
        </w:rPr>
        <w:t xml:space="preserve">odern </w:t>
      </w:r>
      <w:r w:rsidR="00915567" w:rsidRPr="003B2AB8">
        <w:rPr>
          <w:i/>
          <w:szCs w:val="22"/>
        </w:rPr>
        <w:t>t</w:t>
      </w:r>
      <w:r w:rsidRPr="003B2AB8">
        <w:rPr>
          <w:i/>
          <w:szCs w:val="22"/>
        </w:rPr>
        <w:t xml:space="preserve">est </w:t>
      </w:r>
      <w:r w:rsidR="00915567" w:rsidRPr="003B2AB8">
        <w:rPr>
          <w:i/>
          <w:szCs w:val="22"/>
        </w:rPr>
        <w:t>t</w:t>
      </w:r>
      <w:r w:rsidRPr="003B2AB8">
        <w:rPr>
          <w:i/>
          <w:szCs w:val="22"/>
        </w:rPr>
        <w:t>heory</w:t>
      </w:r>
      <w:r w:rsidRPr="003B2AB8">
        <w:rPr>
          <w:szCs w:val="22"/>
        </w:rPr>
        <w:t>. New York: CBS College Publishing.</w:t>
      </w:r>
    </w:p>
    <w:p w14:paraId="61079EBA" w14:textId="77777777" w:rsidR="00CD4887" w:rsidRPr="003B2AB8" w:rsidRDefault="00CD4887" w:rsidP="00990186">
      <w:pPr>
        <w:tabs>
          <w:tab w:val="left" w:pos="360"/>
        </w:tabs>
      </w:pPr>
    </w:p>
    <w:p w14:paraId="7C613E0D" w14:textId="77777777" w:rsidR="00CD4887" w:rsidRDefault="00CD4887" w:rsidP="00CD4887">
      <w:pPr>
        <w:pStyle w:val="HReferences"/>
        <w:rPr>
          <w:rStyle w:val="Strong"/>
          <w:b w:val="0"/>
        </w:rPr>
      </w:pPr>
      <w:r w:rsidRPr="003B2AB8">
        <w:t xml:space="preserve">Kolen, M. J., Zang, L., &amp; Hanson, B. A. (1996). </w:t>
      </w:r>
      <w:r w:rsidRPr="003B2AB8">
        <w:rPr>
          <w:bCs/>
        </w:rPr>
        <w:t xml:space="preserve">Conditional </w:t>
      </w:r>
      <w:r w:rsidR="00D91D57" w:rsidRPr="003B2AB8">
        <w:rPr>
          <w:bCs/>
        </w:rPr>
        <w:t>s</w:t>
      </w:r>
      <w:r w:rsidRPr="003B2AB8">
        <w:rPr>
          <w:bCs/>
        </w:rPr>
        <w:t xml:space="preserve">tandard </w:t>
      </w:r>
      <w:r w:rsidR="00D91D57" w:rsidRPr="003B2AB8">
        <w:rPr>
          <w:bCs/>
        </w:rPr>
        <w:t>e</w:t>
      </w:r>
      <w:r w:rsidRPr="003B2AB8">
        <w:rPr>
          <w:bCs/>
        </w:rPr>
        <w:t xml:space="preserve">rrors of </w:t>
      </w:r>
      <w:r w:rsidR="00D91D57" w:rsidRPr="003B2AB8">
        <w:rPr>
          <w:bCs/>
        </w:rPr>
        <w:t>m</w:t>
      </w:r>
      <w:r w:rsidRPr="003B2AB8">
        <w:rPr>
          <w:bCs/>
        </w:rPr>
        <w:t xml:space="preserve">easurement for </w:t>
      </w:r>
      <w:r w:rsidR="00D91D57" w:rsidRPr="003B2AB8">
        <w:rPr>
          <w:bCs/>
        </w:rPr>
        <w:t>s</w:t>
      </w:r>
      <w:r w:rsidRPr="003B2AB8">
        <w:rPr>
          <w:bCs/>
        </w:rPr>
        <w:t xml:space="preserve">cale </w:t>
      </w:r>
      <w:r w:rsidR="00D91D57" w:rsidRPr="003B2AB8">
        <w:rPr>
          <w:bCs/>
        </w:rPr>
        <w:t>s</w:t>
      </w:r>
      <w:r w:rsidRPr="003B2AB8">
        <w:rPr>
          <w:bCs/>
        </w:rPr>
        <w:t xml:space="preserve">cores Using IRT. </w:t>
      </w:r>
      <w:r w:rsidRPr="003B2AB8">
        <w:rPr>
          <w:bCs/>
          <w:i/>
        </w:rPr>
        <w:t>Journal of Educational Measurement</w:t>
      </w:r>
      <w:r w:rsidR="00915567" w:rsidRPr="003B2AB8">
        <w:rPr>
          <w:bCs/>
          <w:i/>
        </w:rPr>
        <w:t>,</w:t>
      </w:r>
      <w:hyperlink r:id="rId15" w:history="1"/>
      <w:r w:rsidRPr="003B2AB8">
        <w:rPr>
          <w:rStyle w:val="Strong"/>
        </w:rPr>
        <w:t xml:space="preserve"> </w:t>
      </w:r>
      <w:r w:rsidRPr="003B2AB8">
        <w:rPr>
          <w:rStyle w:val="Strong"/>
          <w:b w:val="0"/>
          <w:i/>
        </w:rPr>
        <w:t>33</w:t>
      </w:r>
      <w:r w:rsidRPr="003B2AB8">
        <w:rPr>
          <w:rStyle w:val="Strong"/>
          <w:b w:val="0"/>
        </w:rPr>
        <w:t>(2)</w:t>
      </w:r>
      <w:r w:rsidR="00915567" w:rsidRPr="003B2AB8">
        <w:rPr>
          <w:rStyle w:val="Strong"/>
          <w:b w:val="0"/>
        </w:rPr>
        <w:t>,</w:t>
      </w:r>
      <w:r w:rsidRPr="003B2AB8">
        <w:rPr>
          <w:b/>
        </w:rPr>
        <w:t xml:space="preserve"> </w:t>
      </w:r>
      <w:r w:rsidRPr="003B2AB8">
        <w:rPr>
          <w:rStyle w:val="Strong"/>
          <w:b w:val="0"/>
        </w:rPr>
        <w:t>129-140.</w:t>
      </w:r>
    </w:p>
    <w:p w14:paraId="0321783E" w14:textId="5C4380E7" w:rsidR="007F68E1" w:rsidRPr="003B2AB8" w:rsidRDefault="007F68E1" w:rsidP="00CD4887">
      <w:pPr>
        <w:pStyle w:val="HReferences"/>
        <w:rPr>
          <w:bCs/>
        </w:rPr>
      </w:pPr>
      <w:r>
        <w:rPr>
          <w:rStyle w:val="find0hang020msreg10shiftf4"/>
        </w:rPr>
        <w:t>Linacre, J. M. (2016). Winsteps® Rasch measurement computer program. Beaverton, Oregon: Winsteps.com</w:t>
      </w:r>
    </w:p>
    <w:p w14:paraId="39967BEC" w14:textId="77777777" w:rsidR="00990186" w:rsidRPr="003B2AB8" w:rsidRDefault="00990186" w:rsidP="00990186">
      <w:pPr>
        <w:tabs>
          <w:tab w:val="left" w:pos="360"/>
        </w:tabs>
      </w:pPr>
      <w:r w:rsidRPr="003B2AB8">
        <w:t>N</w:t>
      </w:r>
      <w:r w:rsidR="00CD4887" w:rsidRPr="003B2AB8">
        <w:t xml:space="preserve">unnally, J. C. (1978). </w:t>
      </w:r>
      <w:r w:rsidRPr="003B2AB8">
        <w:rPr>
          <w:i/>
          <w:iCs/>
        </w:rPr>
        <w:t>Psychometric theory</w:t>
      </w:r>
      <w:r w:rsidRPr="003B2AB8">
        <w:t xml:space="preserve"> (2</w:t>
      </w:r>
      <w:r w:rsidRPr="003B2AB8">
        <w:rPr>
          <w:vertAlign w:val="superscript"/>
        </w:rPr>
        <w:t>nd</w:t>
      </w:r>
      <w:r w:rsidRPr="003B2AB8">
        <w:t xml:space="preserve"> ed.). New York: McGraw-Hill.</w:t>
      </w:r>
    </w:p>
    <w:p w14:paraId="5D1CE8AC" w14:textId="77777777" w:rsidR="00915567" w:rsidRPr="003B2AB8" w:rsidRDefault="00915567" w:rsidP="00990186">
      <w:pPr>
        <w:tabs>
          <w:tab w:val="left" w:pos="360"/>
        </w:tabs>
      </w:pPr>
    </w:p>
    <w:p w14:paraId="3916E374" w14:textId="77777777" w:rsidR="00915567" w:rsidRPr="003B2AB8" w:rsidRDefault="00915567" w:rsidP="00990186">
      <w:pPr>
        <w:tabs>
          <w:tab w:val="left" w:pos="360"/>
        </w:tabs>
      </w:pPr>
    </w:p>
    <w:p w14:paraId="3E20B23B" w14:textId="77777777" w:rsidR="00915567" w:rsidRPr="003B2AB8" w:rsidRDefault="00915567" w:rsidP="00E97464">
      <w:pPr>
        <w:sectPr w:rsidR="00915567" w:rsidRPr="003B2AB8" w:rsidSect="007C3FA7">
          <w:pgSz w:w="12240" w:h="15840" w:code="1"/>
          <w:pgMar w:top="1440" w:right="1440" w:bottom="1440" w:left="1440" w:header="720" w:footer="720" w:gutter="0"/>
          <w:cols w:space="720"/>
          <w:docGrid w:linePitch="299"/>
        </w:sectPr>
      </w:pPr>
    </w:p>
    <w:p w14:paraId="07625A27" w14:textId="77777777" w:rsidR="00E97464" w:rsidRPr="003B2AB8" w:rsidRDefault="00E97464" w:rsidP="00113149">
      <w:pPr>
        <w:pStyle w:val="HLevel1"/>
      </w:pPr>
      <w:bookmarkStart w:id="38" w:name="_Toc446343634"/>
      <w:r w:rsidRPr="003B2AB8">
        <w:t>Appendix A: Conditional Standard Error of Measurement Plots</w:t>
      </w:r>
      <w:bookmarkEnd w:id="38"/>
    </w:p>
    <w:p w14:paraId="6329400A" w14:textId="77777777" w:rsidR="00E97464" w:rsidRPr="003B2AB8" w:rsidRDefault="00E97464" w:rsidP="00915567">
      <w:pPr>
        <w:rPr>
          <w:sz w:val="20"/>
          <w:szCs w:val="20"/>
        </w:rPr>
      </w:pPr>
    </w:p>
    <w:p w14:paraId="408AB07A" w14:textId="77777777" w:rsidR="00E97464" w:rsidRPr="003B2AB8" w:rsidRDefault="00E97464" w:rsidP="00E97464">
      <w:pPr>
        <w:pStyle w:val="HBodyText"/>
      </w:pPr>
      <w:r w:rsidRPr="003B2AB8">
        <w:rPr>
          <w:noProof/>
        </w:rPr>
        <w:drawing>
          <wp:inline distT="0" distB="0" distL="0" distR="0" wp14:anchorId="3803B2AA" wp14:editId="00E9EF24">
            <wp:extent cx="5144628" cy="3855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85383" cy="3886264"/>
                    </a:xfrm>
                    <a:prstGeom prst="rect">
                      <a:avLst/>
                    </a:prstGeom>
                  </pic:spPr>
                </pic:pic>
              </a:graphicData>
            </a:graphic>
          </wp:inline>
        </w:drawing>
      </w:r>
      <w:r w:rsidRPr="003B2AB8">
        <w:rPr>
          <w:noProof/>
        </w:rPr>
        <w:drawing>
          <wp:inline distT="0" distB="0" distL="0" distR="0" wp14:anchorId="2987E137" wp14:editId="5CD7CA1B">
            <wp:extent cx="5135880" cy="3860688"/>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71936" cy="3887792"/>
                    </a:xfrm>
                    <a:prstGeom prst="rect">
                      <a:avLst/>
                    </a:prstGeom>
                  </pic:spPr>
                </pic:pic>
              </a:graphicData>
            </a:graphic>
          </wp:inline>
        </w:drawing>
      </w:r>
    </w:p>
    <w:p w14:paraId="23A100EE" w14:textId="77777777" w:rsidR="00E97464" w:rsidRPr="003B2AB8" w:rsidRDefault="00E97464" w:rsidP="00273960"/>
    <w:p w14:paraId="72AD5E4F" w14:textId="77777777" w:rsidR="00E97464" w:rsidRPr="003B2AB8" w:rsidRDefault="00E97464" w:rsidP="00273960">
      <w:r w:rsidRPr="003B2AB8">
        <w:rPr>
          <w:noProof/>
        </w:rPr>
        <w:drawing>
          <wp:inline distT="0" distB="0" distL="0" distR="0" wp14:anchorId="5D714BF4" wp14:editId="5E7BC594">
            <wp:extent cx="5299873" cy="394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7248" cy="3952653"/>
                    </a:xfrm>
                    <a:prstGeom prst="rect">
                      <a:avLst/>
                    </a:prstGeom>
                  </pic:spPr>
                </pic:pic>
              </a:graphicData>
            </a:graphic>
          </wp:inline>
        </w:drawing>
      </w:r>
    </w:p>
    <w:p w14:paraId="0007F138" w14:textId="77777777" w:rsidR="00E97464" w:rsidRPr="003B2AB8" w:rsidRDefault="00E97464" w:rsidP="00273960">
      <w:r w:rsidRPr="003B2AB8">
        <w:rPr>
          <w:noProof/>
        </w:rPr>
        <w:drawing>
          <wp:inline distT="0" distB="0" distL="0" distR="0" wp14:anchorId="4D5794DC" wp14:editId="33F68A73">
            <wp:extent cx="5280660" cy="39475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06942" cy="3967165"/>
                    </a:xfrm>
                    <a:prstGeom prst="rect">
                      <a:avLst/>
                    </a:prstGeom>
                  </pic:spPr>
                </pic:pic>
              </a:graphicData>
            </a:graphic>
          </wp:inline>
        </w:drawing>
      </w:r>
    </w:p>
    <w:p w14:paraId="4BBD8FD7" w14:textId="77777777" w:rsidR="00E97464" w:rsidRPr="003B2AB8" w:rsidRDefault="00996E00" w:rsidP="00273960">
      <w:r w:rsidRPr="003B2AB8">
        <w:rPr>
          <w:noProof/>
        </w:rPr>
        <w:drawing>
          <wp:inline distT="0" distB="0" distL="0" distR="0" wp14:anchorId="142A1F0B" wp14:editId="2EF5A47E">
            <wp:extent cx="5454601" cy="4122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73103" cy="4136403"/>
                    </a:xfrm>
                    <a:prstGeom prst="rect">
                      <a:avLst/>
                    </a:prstGeom>
                  </pic:spPr>
                </pic:pic>
              </a:graphicData>
            </a:graphic>
          </wp:inline>
        </w:drawing>
      </w:r>
    </w:p>
    <w:p w14:paraId="4244022C" w14:textId="77777777" w:rsidR="00E97464" w:rsidRPr="003B2AB8" w:rsidRDefault="00E97464" w:rsidP="00E97464">
      <w:pPr>
        <w:tabs>
          <w:tab w:val="left" w:pos="5760"/>
        </w:tabs>
      </w:pPr>
      <w:r w:rsidRPr="003B2AB8">
        <w:rPr>
          <w:noProof/>
        </w:rPr>
        <w:drawing>
          <wp:inline distT="0" distB="0" distL="0" distR="0" wp14:anchorId="20B431CB" wp14:editId="3BE6FF2E">
            <wp:extent cx="5462793" cy="4069080"/>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78987" cy="4081142"/>
                    </a:xfrm>
                    <a:prstGeom prst="rect">
                      <a:avLst/>
                    </a:prstGeom>
                  </pic:spPr>
                </pic:pic>
              </a:graphicData>
            </a:graphic>
          </wp:inline>
        </w:drawing>
      </w:r>
    </w:p>
    <w:sectPr w:rsidR="00E97464" w:rsidRPr="003B2AB8" w:rsidSect="007C3FA7">
      <w:footerReference w:type="even" r:id="rId22"/>
      <w:footerReference w:type="default" r:id="rId23"/>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5E489" w14:textId="77777777" w:rsidR="007F16E6" w:rsidRDefault="007F16E6" w:rsidP="00962D2A">
      <w:r>
        <w:separator/>
      </w:r>
    </w:p>
    <w:p w14:paraId="687D2532" w14:textId="77777777" w:rsidR="007F16E6" w:rsidRDefault="007F16E6" w:rsidP="00962D2A"/>
    <w:p w14:paraId="2408EFAB" w14:textId="77777777" w:rsidR="007F16E6" w:rsidRDefault="007F16E6" w:rsidP="00962D2A"/>
    <w:p w14:paraId="05DF3A4F" w14:textId="77777777" w:rsidR="007F16E6" w:rsidRDefault="007F16E6" w:rsidP="00962D2A"/>
  </w:endnote>
  <w:endnote w:type="continuationSeparator" w:id="0">
    <w:p w14:paraId="4506993F" w14:textId="77777777" w:rsidR="007F16E6" w:rsidRDefault="007F16E6" w:rsidP="00962D2A">
      <w:r>
        <w:continuationSeparator/>
      </w:r>
    </w:p>
    <w:p w14:paraId="2931E9EB" w14:textId="77777777" w:rsidR="007F16E6" w:rsidRDefault="007F16E6" w:rsidP="00962D2A"/>
    <w:p w14:paraId="7AE7A2A7" w14:textId="77777777" w:rsidR="007F16E6" w:rsidRDefault="007F16E6" w:rsidP="00962D2A"/>
    <w:p w14:paraId="2357C90C" w14:textId="77777777" w:rsidR="007F16E6" w:rsidRDefault="007F16E6" w:rsidP="00962D2A"/>
  </w:endnote>
  <w:endnote w:type="continuationNotice" w:id="1">
    <w:p w14:paraId="1CC5159B" w14:textId="77777777" w:rsidR="007F16E6" w:rsidRDefault="007F1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7B165" w14:textId="77777777" w:rsidR="00A05A5B" w:rsidRDefault="00A05A5B" w:rsidP="004D6604">
    <w:pPr>
      <w:pBdr>
        <w:top w:val="single" w:sz="4" w:space="1" w:color="669933"/>
      </w:pBdr>
      <w:tabs>
        <w:tab w:val="right" w:pos="9360"/>
      </w:tabs>
      <w:spacing w:before="20"/>
      <w:rPr>
        <w:i/>
        <w:sz w:val="18"/>
        <w:szCs w:val="18"/>
      </w:rPr>
    </w:pPr>
    <w:r>
      <w:rPr>
        <w:i/>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E2443B">
      <w:rPr>
        <w:noProof/>
        <w:sz w:val="18"/>
        <w:szCs w:val="18"/>
      </w:rPr>
      <w:t>1</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8E6E" w14:textId="506E1E84" w:rsidR="00A05A5B" w:rsidRPr="000629E5" w:rsidRDefault="00A05A5B" w:rsidP="000629E5">
    <w:pPr>
      <w:pBdr>
        <w:top w:val="single" w:sz="4" w:space="1" w:color="669933"/>
      </w:pBdr>
      <w:tabs>
        <w:tab w:val="right" w:pos="9360"/>
      </w:tabs>
      <w:spacing w:before="20"/>
      <w:rPr>
        <w:i/>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E2443B">
      <w:rPr>
        <w:noProof/>
        <w:sz w:val="18"/>
        <w:szCs w:val="18"/>
      </w:rPr>
      <w:t>16</w:t>
    </w:r>
    <w:r>
      <w:rPr>
        <w:sz w:val="18"/>
        <w:szCs w:val="18"/>
      </w:rPr>
      <w:fldChar w:fldCharType="end"/>
    </w:r>
    <w:r>
      <w:rPr>
        <w:sz w:val="18"/>
        <w:szCs w:val="18"/>
      </w:rPr>
      <w:tab/>
    </w:r>
    <w:r>
      <w:rPr>
        <w:i/>
        <w:sz w:val="18"/>
        <w:szCs w:val="18"/>
      </w:rPr>
      <w:t>Independent Evaluation of the Validity and Reliability of STAAR Grades 3-8 Assessment Scores: Part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B9A3" w14:textId="20CB32AE" w:rsidR="00A05A5B" w:rsidRDefault="00A05A5B" w:rsidP="004D6604">
    <w:pPr>
      <w:pBdr>
        <w:top w:val="single" w:sz="4" w:space="1" w:color="669933"/>
      </w:pBdr>
      <w:tabs>
        <w:tab w:val="right" w:pos="9360"/>
      </w:tabs>
      <w:spacing w:before="20"/>
      <w:rPr>
        <w:i/>
        <w:sz w:val="18"/>
        <w:szCs w:val="18"/>
      </w:rPr>
    </w:pPr>
    <w:r>
      <w:rPr>
        <w:i/>
        <w:sz w:val="18"/>
        <w:szCs w:val="18"/>
      </w:rPr>
      <w:t>Independent Evaluation of the Validity and Reliability of STAAR Grades 3-8 Assessment Scores: Part 1</w:t>
    </w:r>
    <w:r>
      <w:rPr>
        <w:i/>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E2443B">
      <w:rPr>
        <w:noProof/>
        <w:sz w:val="18"/>
        <w:szCs w:val="18"/>
      </w:rPr>
      <w:t>1</w:t>
    </w:r>
    <w:r>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2456" w14:textId="0D9F1268" w:rsidR="00A05A5B" w:rsidRPr="000629E5" w:rsidRDefault="00A05A5B" w:rsidP="000629E5">
    <w:pPr>
      <w:pBdr>
        <w:top w:val="single" w:sz="4" w:space="1" w:color="669933"/>
      </w:pBdr>
      <w:tabs>
        <w:tab w:val="right" w:pos="9360"/>
      </w:tabs>
      <w:spacing w:before="20"/>
      <w:rPr>
        <w:i/>
        <w:sz w:val="18"/>
        <w:szCs w:val="18"/>
      </w:rPr>
    </w:pPr>
    <w:r>
      <w:rPr>
        <w:sz w:val="18"/>
        <w:szCs w:val="18"/>
      </w:rPr>
      <w:t>A-</w:t>
    </w:r>
    <w:r>
      <w:rPr>
        <w:sz w:val="18"/>
        <w:szCs w:val="18"/>
      </w:rPr>
      <w:fldChar w:fldCharType="begin"/>
    </w:r>
    <w:r>
      <w:rPr>
        <w:sz w:val="18"/>
        <w:szCs w:val="18"/>
      </w:rPr>
      <w:instrText xml:space="preserve"> PAGE   \* MERGEFORMAT </w:instrText>
    </w:r>
    <w:r>
      <w:rPr>
        <w:sz w:val="18"/>
        <w:szCs w:val="18"/>
      </w:rPr>
      <w:fldChar w:fldCharType="separate"/>
    </w:r>
    <w:r w:rsidR="00E2443B">
      <w:rPr>
        <w:noProof/>
        <w:sz w:val="18"/>
        <w:szCs w:val="18"/>
      </w:rPr>
      <w:t>2</w:t>
    </w:r>
    <w:r>
      <w:rPr>
        <w:sz w:val="18"/>
        <w:szCs w:val="18"/>
      </w:rPr>
      <w:fldChar w:fldCharType="end"/>
    </w:r>
    <w:r>
      <w:rPr>
        <w:sz w:val="18"/>
        <w:szCs w:val="18"/>
      </w:rPr>
      <w:tab/>
    </w:r>
    <w:r>
      <w:rPr>
        <w:i/>
        <w:sz w:val="18"/>
        <w:szCs w:val="18"/>
      </w:rPr>
      <w:t>Independent Evaluation of the Validity and Reliability of STAAR Grades 3-8 Assessment Scores: Part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B296" w14:textId="2C483159" w:rsidR="00A05A5B" w:rsidRDefault="00A05A5B" w:rsidP="004D6604">
    <w:pPr>
      <w:pBdr>
        <w:top w:val="single" w:sz="4" w:space="1" w:color="669933"/>
      </w:pBdr>
      <w:tabs>
        <w:tab w:val="right" w:pos="9360"/>
      </w:tabs>
      <w:spacing w:before="20"/>
      <w:rPr>
        <w:i/>
        <w:sz w:val="18"/>
        <w:szCs w:val="18"/>
      </w:rPr>
    </w:pPr>
    <w:r>
      <w:rPr>
        <w:i/>
        <w:sz w:val="18"/>
        <w:szCs w:val="18"/>
      </w:rPr>
      <w:t>Independent Evaluation of the Validity and Reliability of STAAR Grades 3-8 Assessment Scores: Part 1</w:t>
    </w:r>
    <w:r>
      <w:rPr>
        <w:i/>
        <w:sz w:val="18"/>
        <w:szCs w:val="18"/>
      </w:rPr>
      <w:tab/>
    </w:r>
    <w:r w:rsidRPr="007C3FA7">
      <w:rPr>
        <w:sz w:val="18"/>
        <w:szCs w:val="18"/>
      </w:rPr>
      <w:t>A-</w:t>
    </w:r>
    <w:r>
      <w:rPr>
        <w:sz w:val="18"/>
        <w:szCs w:val="18"/>
      </w:rPr>
      <w:fldChar w:fldCharType="begin"/>
    </w:r>
    <w:r>
      <w:rPr>
        <w:sz w:val="18"/>
        <w:szCs w:val="18"/>
      </w:rPr>
      <w:instrText xml:space="preserve"> PAGE   \* MERGEFORMAT </w:instrText>
    </w:r>
    <w:r>
      <w:rPr>
        <w:sz w:val="18"/>
        <w:szCs w:val="18"/>
      </w:rPr>
      <w:fldChar w:fldCharType="separate"/>
    </w:r>
    <w:r w:rsidR="00E2443B">
      <w:rPr>
        <w:noProof/>
        <w:sz w:val="18"/>
        <w:szCs w:val="18"/>
      </w:rPr>
      <w:t>3</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42214" w14:textId="77777777" w:rsidR="007F16E6" w:rsidRDefault="007F16E6" w:rsidP="006D2FCD">
      <w:pPr>
        <w:spacing w:after="20"/>
      </w:pPr>
      <w:r>
        <w:separator/>
      </w:r>
    </w:p>
  </w:footnote>
  <w:footnote w:type="continuationSeparator" w:id="0">
    <w:p w14:paraId="56B5792C" w14:textId="77777777" w:rsidR="007F16E6" w:rsidRDefault="007F16E6" w:rsidP="00962D2A">
      <w:r>
        <w:continuationSeparator/>
      </w:r>
    </w:p>
    <w:p w14:paraId="0AF66D92" w14:textId="77777777" w:rsidR="007F16E6" w:rsidRDefault="007F16E6" w:rsidP="00962D2A"/>
    <w:p w14:paraId="2AD632B0" w14:textId="77777777" w:rsidR="007F16E6" w:rsidRDefault="007F16E6" w:rsidP="00962D2A"/>
    <w:p w14:paraId="766349B3" w14:textId="77777777" w:rsidR="007F16E6" w:rsidRDefault="007F16E6" w:rsidP="00962D2A"/>
  </w:footnote>
  <w:footnote w:type="continuationNotice" w:id="1">
    <w:p w14:paraId="1748DD52" w14:textId="77777777" w:rsidR="007F16E6" w:rsidRDefault="007F16E6"/>
  </w:footnote>
  <w:footnote w:id="2">
    <w:p w14:paraId="430FF502" w14:textId="2E5F5F1F" w:rsidR="00A05A5B" w:rsidRDefault="00A05A5B" w:rsidP="00C214AA">
      <w:pPr>
        <w:pStyle w:val="FootnoteText"/>
      </w:pPr>
      <w:r>
        <w:rPr>
          <w:rStyle w:val="FootnoteReference"/>
        </w:rPr>
        <w:footnoteRef/>
      </w:r>
      <w:r>
        <w:t xml:space="preserve"> A collaboration between the American Educational Research Association (AERA), American Psychological Association (APA), and the National Council on Measurement in Education (NCME).</w:t>
      </w:r>
    </w:p>
  </w:footnote>
  <w:footnote w:id="3">
    <w:p w14:paraId="56373101" w14:textId="77777777" w:rsidR="00A05A5B" w:rsidRDefault="00A05A5B" w:rsidP="00C214AA">
      <w:pPr>
        <w:pStyle w:val="FootnoteText"/>
      </w:pPr>
      <w:r>
        <w:rPr>
          <w:rStyle w:val="FootnoteReference"/>
        </w:rPr>
        <w:footnoteRef/>
      </w:r>
      <w:r>
        <w:t xml:space="preserve"> </w:t>
      </w:r>
      <w:r>
        <w:rPr>
          <w:shd w:val="clear" w:color="auto" w:fill="FFFFFF"/>
        </w:rPr>
        <w:t>www2.ed.gov/admins/lead/account/peerreview/assesspeerrevst102615.doc</w:t>
      </w:r>
    </w:p>
  </w:footnote>
  <w:footnote w:id="4">
    <w:p w14:paraId="27A7E93C" w14:textId="77777777" w:rsidR="00A05A5B" w:rsidRDefault="00A05A5B" w:rsidP="00C214AA">
      <w:pPr>
        <w:pStyle w:val="FootnoteText"/>
      </w:pPr>
      <w:r>
        <w:rPr>
          <w:rStyle w:val="FootnoteReference"/>
        </w:rPr>
        <w:footnoteRef/>
      </w:r>
      <w:r>
        <w:t xml:space="preserve"> </w:t>
      </w:r>
      <w:hyperlink r:id="rId1" w:history="1">
        <w:r w:rsidRPr="00DD2FA1">
          <w:rPr>
            <w:rStyle w:val="Hyperlink"/>
          </w:rPr>
          <w:t>http://tea.texas.gov/student.assessment/interpguide/</w:t>
        </w:r>
      </w:hyperlink>
    </w:p>
  </w:footnote>
  <w:footnote w:id="5">
    <w:p w14:paraId="6FAB5B37" w14:textId="77777777" w:rsidR="00A05A5B" w:rsidRDefault="00A05A5B" w:rsidP="00C214AA">
      <w:pPr>
        <w:pStyle w:val="FootnoteText"/>
      </w:pPr>
      <w:r>
        <w:rPr>
          <w:rStyle w:val="FootnoteReference"/>
        </w:rPr>
        <w:footnoteRef/>
      </w:r>
      <w:r>
        <w:t xml:space="preserve"> </w:t>
      </w:r>
      <w:hyperlink r:id="rId2" w:history="1">
        <w:r w:rsidRPr="00520A4D">
          <w:rPr>
            <w:rStyle w:val="Hyperlink"/>
          </w:rPr>
          <w:t>http://tea.texas.gov/Student_Testing_and_Accountability/Testing/Student_Assessment_</w:t>
        </w:r>
        <w:r>
          <w:rPr>
            <w:rStyle w:val="Hyperlink"/>
          </w:rPr>
          <w:t>‌</w:t>
        </w:r>
        <w:r w:rsidRPr="00520A4D">
          <w:rPr>
            <w:rStyle w:val="Hyperlink"/>
          </w:rPr>
          <w:t>Overview/Technical_Digest_2014-2015/</w:t>
        </w:r>
      </w:hyperlink>
    </w:p>
  </w:footnote>
  <w:footnote w:id="6">
    <w:p w14:paraId="63930180" w14:textId="35719806" w:rsidR="00A05A5B" w:rsidRDefault="00A05A5B" w:rsidP="00C214AA">
      <w:pPr>
        <w:pStyle w:val="FootnoteText"/>
      </w:pPr>
      <w:r>
        <w:rPr>
          <w:rStyle w:val="FootnoteReference"/>
        </w:rPr>
        <w:footnoteRef/>
      </w:r>
      <w:r>
        <w:t xml:space="preserve"> </w:t>
      </w:r>
      <w:r w:rsidRPr="00610499">
        <w:t>We use the term “grade/subject” to mean any of the tested subjects for any of the tested grades (e.g.,</w:t>
      </w:r>
      <w:r>
        <w:t> </w:t>
      </w:r>
      <w:r w:rsidRPr="00610499">
        <w:t>grade 4 mathematics or grade 5 science).</w:t>
      </w:r>
    </w:p>
  </w:footnote>
  <w:footnote w:id="7">
    <w:p w14:paraId="243CC2FC" w14:textId="77777777" w:rsidR="00A05A5B" w:rsidRDefault="00A05A5B" w:rsidP="00C214AA">
      <w:pPr>
        <w:pStyle w:val="FootnoteText"/>
      </w:pPr>
      <w:r>
        <w:rPr>
          <w:rStyle w:val="FootnoteReference"/>
        </w:rPr>
        <w:footnoteRef/>
      </w:r>
      <w:r>
        <w:t xml:space="preserve"> </w:t>
      </w:r>
      <w:r w:rsidRPr="00242996">
        <w:t xml:space="preserve">For Math, </w:t>
      </w:r>
      <w:hyperlink r:id="rId3" w:history="1">
        <w:r w:rsidRPr="00242996">
          <w:rPr>
            <w:rStyle w:val="Hyperlink"/>
          </w:rPr>
          <w:t>http://ritter.tea.state.tx.us/rules/tac/chapter111/index.html</w:t>
        </w:r>
      </w:hyperlink>
      <w:r>
        <w:t>;</w:t>
      </w:r>
      <w:r w:rsidRPr="00242996">
        <w:t xml:space="preserve"> </w:t>
      </w:r>
      <w:r>
        <w:br/>
      </w:r>
      <w:r w:rsidRPr="00242996">
        <w:t xml:space="preserve">For Reading, </w:t>
      </w:r>
      <w:hyperlink r:id="rId4" w:history="1">
        <w:r w:rsidRPr="00242996">
          <w:rPr>
            <w:rStyle w:val="Hyperlink"/>
          </w:rPr>
          <w:t>http://ritter.tea.state.tx.us/rules/tac/chapter110/index.html</w:t>
        </w:r>
      </w:hyperlink>
    </w:p>
  </w:footnote>
  <w:footnote w:id="8">
    <w:p w14:paraId="4A10F392" w14:textId="77777777" w:rsidR="00A05A5B" w:rsidRDefault="00A05A5B" w:rsidP="00C214AA">
      <w:pPr>
        <w:pStyle w:val="FootnoteText"/>
      </w:pPr>
      <w:r>
        <w:rPr>
          <w:rStyle w:val="FootnoteReference"/>
        </w:rPr>
        <w:footnoteRef/>
      </w:r>
      <w:r>
        <w:t xml:space="preserve"> </w:t>
      </w:r>
      <w:hyperlink r:id="rId5" w:anchor="G_Assessments" w:history="1">
        <w:r w:rsidRPr="00242996">
          <w:rPr>
            <w:rStyle w:val="Hyperlink"/>
          </w:rPr>
          <w:t>http://tea.texas.gov/student.assessment/staar/#G_Assessments</w:t>
        </w:r>
      </w:hyperlink>
    </w:p>
  </w:footnote>
  <w:footnote w:id="9">
    <w:p w14:paraId="075D0075" w14:textId="57A125C9" w:rsidR="00A05A5B" w:rsidRDefault="00A05A5B" w:rsidP="00C214AA">
      <w:pPr>
        <w:pStyle w:val="FootnoteText"/>
      </w:pPr>
      <w:r>
        <w:rPr>
          <w:rStyle w:val="FootnoteReference"/>
        </w:rPr>
        <w:footnoteRef/>
      </w:r>
      <w:r>
        <w:t xml:space="preserve"> We are, however, a full service testing company in other arenas such as credentialing and tests for hiring and promoting withing organizations. Efforts in these areas include writing items, constructing forms, scoring, and overseeing test administration.</w:t>
      </w:r>
    </w:p>
  </w:footnote>
  <w:footnote w:id="10">
    <w:p w14:paraId="15E748DF" w14:textId="77777777" w:rsidR="00A05A5B" w:rsidRDefault="00A05A5B" w:rsidP="00C214AA">
      <w:pPr>
        <w:pStyle w:val="FootnoteText"/>
      </w:pPr>
      <w:r>
        <w:rPr>
          <w:rStyle w:val="FootnoteReference"/>
        </w:rPr>
        <w:footnoteRef/>
      </w:r>
      <w:r>
        <w:t xml:space="preserve"> At times our contracts have been directly with the state, and at other times they have been through the prime contractor as a subcontract stipulated by the state. In all cases, we have treated the state as our primary client. </w:t>
      </w:r>
    </w:p>
  </w:footnote>
  <w:footnote w:id="11">
    <w:p w14:paraId="64E3479C" w14:textId="77777777" w:rsidR="00A05A5B" w:rsidRPr="00666B58" w:rsidRDefault="00A05A5B" w:rsidP="00C214AA">
      <w:pPr>
        <w:pStyle w:val="FootnoteText"/>
        <w:rPr>
          <w:rStyle w:val="Hyperlink"/>
        </w:rPr>
      </w:pPr>
      <w:r w:rsidRPr="00B85C66">
        <w:rPr>
          <w:rStyle w:val="FootnoteReference"/>
        </w:rPr>
        <w:footnoteRef/>
      </w:r>
      <w:r w:rsidRPr="00B85C66">
        <w:t xml:space="preserve"> </w:t>
      </w:r>
      <w:hyperlink r:id="rId6" w:history="1">
        <w:r w:rsidRPr="00666B58">
          <w:rPr>
            <w:rStyle w:val="Hyperlink"/>
          </w:rPr>
          <w:t>http://tea.texas.gov/Student_Testing_and_Accountability/Testing/Student_Assessment_‌Overview/Technical_Digest_2014-2015/</w:t>
        </w:r>
      </w:hyperlink>
    </w:p>
  </w:footnote>
  <w:footnote w:id="12">
    <w:p w14:paraId="7E3F1923" w14:textId="77777777" w:rsidR="00A05A5B" w:rsidRPr="00666B58" w:rsidRDefault="00A05A5B" w:rsidP="00C214AA">
      <w:pPr>
        <w:pStyle w:val="FootnoteText"/>
        <w:rPr>
          <w:rStyle w:val="Hyperlink"/>
        </w:rPr>
      </w:pPr>
      <w:r w:rsidRPr="00B85C66">
        <w:rPr>
          <w:rStyle w:val="FootnoteReference"/>
        </w:rPr>
        <w:footnoteRef/>
      </w:r>
      <w:r w:rsidRPr="00B85C66">
        <w:t xml:space="preserve"> </w:t>
      </w:r>
      <w:hyperlink r:id="rId7" w:history="1">
        <w:r w:rsidRPr="00666B58">
          <w:rPr>
            <w:rStyle w:val="Hyperlink"/>
          </w:rPr>
          <w:t>http://www.tea.texas.gov/WorkArea/linkit.aspx?LinkIdentifier=id&amp;ItemID=25769804</w:t>
        </w:r>
      </w:hyperlink>
      <w:r w:rsidRPr="00666B58">
        <w:rPr>
          <w:rStyle w:val="Hyperlink"/>
        </w:rPr>
        <w:t>117&amp;libID=‌25769804117</w:t>
      </w:r>
    </w:p>
  </w:footnote>
  <w:footnote w:id="13">
    <w:p w14:paraId="55B46261" w14:textId="77777777" w:rsidR="00A05A5B" w:rsidRDefault="00A05A5B" w:rsidP="00C214AA">
      <w:pPr>
        <w:pStyle w:val="FootnoteText"/>
      </w:pPr>
      <w:r w:rsidRPr="00B85C66">
        <w:rPr>
          <w:rStyle w:val="FootnoteReference"/>
        </w:rPr>
        <w:footnoteRef/>
      </w:r>
      <w:r w:rsidRPr="00B85C66">
        <w:t xml:space="preserve"> </w:t>
      </w:r>
      <w:hyperlink r:id="rId8" w:history="1">
        <w:r w:rsidRPr="00A15F78">
          <w:rPr>
            <w:rStyle w:val="Hyperlink"/>
          </w:rPr>
          <w:t>http://www.tea.texas.gov/WorkArea/linkit.aspx?LinkIdentifier=id&amp;ItemID=25769823</w:t>
        </w:r>
        <w:r w:rsidRPr="00666B58">
          <w:rPr>
            <w:rStyle w:val="Hyperlink"/>
          </w:rPr>
          <w:t>236&amp;libID=‌25769823334</w:t>
        </w:r>
      </w:hyperlink>
      <w:r>
        <w:rPr>
          <w:shd w:val="clear" w:color="auto" w:fill="FFFFFF"/>
        </w:rPr>
        <w:t xml:space="preserve">  </w:t>
      </w:r>
    </w:p>
  </w:footnote>
  <w:footnote w:id="14">
    <w:p w14:paraId="638B9F52" w14:textId="2BDF0D94" w:rsidR="00A05A5B" w:rsidRDefault="00A05A5B" w:rsidP="00C214AA">
      <w:pPr>
        <w:pStyle w:val="FootnoteText"/>
      </w:pPr>
      <w:r>
        <w:rPr>
          <w:rStyle w:val="FootnoteReference"/>
        </w:rPr>
        <w:footnoteRef/>
      </w:r>
      <w:r>
        <w:t xml:space="preserve"> </w:t>
      </w:r>
      <w:hyperlink r:id="rId9" w:history="1">
        <w:r w:rsidRPr="00CE5A02">
          <w:rPr>
            <w:rStyle w:val="Hyperlink"/>
          </w:rPr>
          <w:t>http://tea.texas.gov/curriculum/teks/</w:t>
        </w:r>
      </w:hyperlink>
      <w:r>
        <w:t xml:space="preserve"> </w:t>
      </w:r>
    </w:p>
  </w:footnote>
  <w:footnote w:id="15">
    <w:p w14:paraId="042EF716" w14:textId="77777777" w:rsidR="00A05A5B" w:rsidRDefault="00A05A5B" w:rsidP="00C214AA">
      <w:pPr>
        <w:pStyle w:val="FootnoteText"/>
      </w:pPr>
      <w:r>
        <w:rPr>
          <w:rStyle w:val="FootnoteReference"/>
        </w:rPr>
        <w:footnoteRef/>
      </w:r>
      <w:r>
        <w:t xml:space="preserve"> </w:t>
      </w:r>
      <w:hyperlink r:id="rId10" w:anchor="G_Assessments" w:history="1">
        <w:r w:rsidRPr="003B2EEC">
          <w:rPr>
            <w:rStyle w:val="Hyperlink"/>
          </w:rPr>
          <w:t>http://tea.texas.gov/student.assessment/staar/#G_Assessments</w:t>
        </w:r>
      </w:hyperlink>
    </w:p>
  </w:footnote>
  <w:footnote w:id="16">
    <w:p w14:paraId="21775895" w14:textId="7FBE89BF" w:rsidR="00A05A5B" w:rsidRDefault="00A05A5B" w:rsidP="00C214AA">
      <w:pPr>
        <w:pStyle w:val="FootnoteText"/>
      </w:pPr>
      <w:r>
        <w:rPr>
          <w:rStyle w:val="FootnoteReference"/>
        </w:rPr>
        <w:footnoteRef/>
      </w:r>
      <w:r>
        <w:t xml:space="preserve"> TEA provided information about this process to HumRRO during a teleconference on March 17, 2016. </w:t>
      </w:r>
    </w:p>
  </w:footnote>
  <w:footnote w:id="17">
    <w:p w14:paraId="18C9C449" w14:textId="77777777" w:rsidR="00A05A5B" w:rsidRPr="00A049ED" w:rsidRDefault="00A05A5B" w:rsidP="00C214AA">
      <w:pPr>
        <w:pStyle w:val="FootnoteText"/>
      </w:pPr>
      <w:r>
        <w:rPr>
          <w:rStyle w:val="FootnoteReference"/>
        </w:rPr>
        <w:footnoteRef/>
      </w:r>
      <w:r>
        <w:t xml:space="preserve"> </w:t>
      </w:r>
      <w:hyperlink r:id="rId11" w:history="1">
        <w:r w:rsidRPr="00666B58">
          <w:rPr>
            <w:rStyle w:val="Hyperlink"/>
          </w:rPr>
          <w:t>http://tea.texas.gov/Student_Testing_and_Accountability/Testing/Student_Assessment_‌Overview/Technical_Digest_2014-2015/</w:t>
        </w:r>
      </w:hyperlink>
    </w:p>
  </w:footnote>
  <w:footnote w:id="18">
    <w:p w14:paraId="10768DA6" w14:textId="584C288B" w:rsidR="00A05A5B" w:rsidRDefault="00A05A5B" w:rsidP="00C214AA">
      <w:pPr>
        <w:pStyle w:val="FootnoteText"/>
      </w:pPr>
      <w:r>
        <w:rPr>
          <w:rStyle w:val="FootnoteReference"/>
        </w:rPr>
        <w:footnoteRef/>
      </w:r>
      <w:r>
        <w:t xml:space="preserve"> </w:t>
      </w:r>
      <w:hyperlink r:id="rId12" w:history="1">
        <w:r w:rsidRPr="00666B58">
          <w:rPr>
            <w:rStyle w:val="Hyperlink"/>
          </w:rPr>
          <w:t>http://tea.texas.gov/Student_Testing_and_Accountability/Testing/Student_Assessment_‌Overview/Technical_Digest_2014-2015/</w:t>
        </w:r>
      </w:hyperlink>
    </w:p>
  </w:footnote>
  <w:footnote w:id="19">
    <w:p w14:paraId="0F7BEE54" w14:textId="77777777" w:rsidR="00A05A5B" w:rsidRDefault="00A05A5B" w:rsidP="00C214AA">
      <w:pPr>
        <w:pStyle w:val="FootnoteText"/>
      </w:pPr>
      <w:r>
        <w:rPr>
          <w:rStyle w:val="FootnoteReference"/>
        </w:rPr>
        <w:footnoteRef/>
      </w:r>
      <w:r>
        <w:t xml:space="preserve"> </w:t>
      </w:r>
      <w:r w:rsidRPr="00081504">
        <w:t>http://tea.texas.gov/student.assessment/staar/manuals/</w:t>
      </w:r>
    </w:p>
  </w:footnote>
  <w:footnote w:id="20">
    <w:p w14:paraId="6935A999" w14:textId="4D6B792D" w:rsidR="00A05A5B" w:rsidRDefault="00A05A5B" w:rsidP="00C214AA">
      <w:pPr>
        <w:pStyle w:val="FootnoteText"/>
      </w:pPr>
      <w:r>
        <w:rPr>
          <w:rStyle w:val="FootnoteReference"/>
        </w:rPr>
        <w:footnoteRef/>
      </w:r>
      <w:r>
        <w:t xml:space="preserve"> Vertical scaling is the process of making student test scores comparable across grade levels. The evaluation of the vertical scaling process is outside the scope of this review.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04F1" w14:textId="77777777" w:rsidR="00A05A5B" w:rsidRDefault="00A05A5B" w:rsidP="000629E5">
    <w:pPr>
      <w:pStyle w:val="Header"/>
      <w:tabs>
        <w:tab w:val="clear" w:pos="4680"/>
      </w:tabs>
    </w:pPr>
    <w:r w:rsidRPr="000629E5">
      <w:rPr>
        <w:noProof/>
      </w:rPr>
      <w:drawing>
        <wp:anchor distT="0" distB="0" distL="114300" distR="114300" simplePos="0" relativeHeight="251659264" behindDoc="0" locked="0" layoutInCell="1" allowOverlap="1" wp14:anchorId="2D25B565" wp14:editId="1AACBFA2">
          <wp:simplePos x="0" y="0"/>
          <wp:positionH relativeFrom="margin">
            <wp:align>left</wp:align>
          </wp:positionH>
          <wp:positionV relativeFrom="paragraph">
            <wp:posOffset>-73025</wp:posOffset>
          </wp:positionV>
          <wp:extent cx="1298448" cy="283464"/>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8448" cy="2834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4550" w14:textId="77777777" w:rsidR="00A05A5B" w:rsidRDefault="00A05A5B" w:rsidP="000629E5">
    <w:pPr>
      <w:pStyle w:val="Header"/>
      <w:tabs>
        <w:tab w:val="clear" w:pos="4680"/>
      </w:tabs>
    </w:pPr>
    <w:r w:rsidRPr="000629E5">
      <w:rPr>
        <w:noProof/>
      </w:rPr>
      <w:drawing>
        <wp:anchor distT="0" distB="0" distL="114300" distR="114300" simplePos="0" relativeHeight="251656192" behindDoc="0" locked="0" layoutInCell="1" allowOverlap="1" wp14:anchorId="70405874" wp14:editId="6F8E5997">
          <wp:simplePos x="0" y="0"/>
          <wp:positionH relativeFrom="margin">
            <wp:align>right</wp:align>
          </wp:positionH>
          <wp:positionV relativeFrom="paragraph">
            <wp:posOffset>-73025</wp:posOffset>
          </wp:positionV>
          <wp:extent cx="1298448" cy="283464"/>
          <wp:effectExtent l="0" t="0" r="0" b="25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8448" cy="2834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E6DA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C61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905F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5C03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5AC0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5483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DCBD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C44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F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36C7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73E69"/>
    <w:multiLevelType w:val="multilevel"/>
    <w:tmpl w:val="21AACF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C33F1C"/>
    <w:multiLevelType w:val="hybridMultilevel"/>
    <w:tmpl w:val="456A5058"/>
    <w:lvl w:ilvl="0" w:tplc="D6A0711A">
      <w:start w:val="1"/>
      <w:numFmt w:val="bullet"/>
      <w:pStyle w:val="HBullets"/>
      <w:lvlText w:val=""/>
      <w:lvlJc w:val="left"/>
      <w:pPr>
        <w:ind w:left="720" w:hanging="360"/>
      </w:pPr>
      <w:rPr>
        <w:rFonts w:ascii="Symbol" w:hAnsi="Symbol" w:hint="default"/>
        <w:color w:val="669933"/>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F47F7"/>
    <w:multiLevelType w:val="hybridMultilevel"/>
    <w:tmpl w:val="CCE4EC56"/>
    <w:lvl w:ilvl="0" w:tplc="890C17D8">
      <w:start w:val="1"/>
      <w:numFmt w:val="bullet"/>
      <w:lvlText w:val=""/>
      <w:lvlJc w:val="left"/>
      <w:pPr>
        <w:tabs>
          <w:tab w:val="num" w:pos="720"/>
        </w:tabs>
        <w:ind w:left="720" w:hanging="360"/>
      </w:pPr>
      <w:rPr>
        <w:rFonts w:ascii="Symbol" w:hAnsi="Symbol" w:hint="default"/>
      </w:rPr>
    </w:lvl>
    <w:lvl w:ilvl="1" w:tplc="4034855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F40CAE"/>
    <w:multiLevelType w:val="hybridMultilevel"/>
    <w:tmpl w:val="240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51750"/>
    <w:multiLevelType w:val="hybridMultilevel"/>
    <w:tmpl w:val="654EFF9C"/>
    <w:lvl w:ilvl="0" w:tplc="2056C8F0">
      <w:start w:val="1"/>
      <w:numFmt w:val="bullet"/>
      <w:lvlText w:val=""/>
      <w:lvlJc w:val="left"/>
      <w:pPr>
        <w:ind w:left="432" w:hanging="360"/>
      </w:pPr>
      <w:rPr>
        <w:rFonts w:ascii="Symbol" w:hAnsi="Symbol" w:hint="default"/>
        <w:color w:val="auto"/>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138A3A09"/>
    <w:multiLevelType w:val="hybridMultilevel"/>
    <w:tmpl w:val="3F4A60F2"/>
    <w:lvl w:ilvl="0" w:tplc="EADA45FE">
      <w:start w:val="1"/>
      <w:numFmt w:val="decimal"/>
      <w:lvlText w:val="%1."/>
      <w:lvlJc w:val="right"/>
      <w:pPr>
        <w:ind w:left="720" w:hanging="360"/>
      </w:pPr>
      <w:rPr>
        <w:rFonts w:ascii="Arial" w:hAnsi="Arial" w:hint="default"/>
        <w:caps w:val="0"/>
        <w:strike w:val="0"/>
        <w:dstrike w:val="0"/>
        <w:vanish w:val="0"/>
        <w:color w:val="669933"/>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D84DEB"/>
    <w:multiLevelType w:val="hybridMultilevel"/>
    <w:tmpl w:val="F85A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0D7200"/>
    <w:multiLevelType w:val="hybridMultilevel"/>
    <w:tmpl w:val="74B24EC2"/>
    <w:lvl w:ilvl="0" w:tplc="EE5850C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84246B7"/>
    <w:multiLevelType w:val="hybridMultilevel"/>
    <w:tmpl w:val="15E0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461A6"/>
    <w:multiLevelType w:val="hybridMultilevel"/>
    <w:tmpl w:val="48262CA6"/>
    <w:lvl w:ilvl="0" w:tplc="6D7ED8B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11C5DA7"/>
    <w:multiLevelType w:val="hybridMultilevel"/>
    <w:tmpl w:val="2E480402"/>
    <w:lvl w:ilvl="0" w:tplc="F8A2E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01BFF"/>
    <w:multiLevelType w:val="hybridMultilevel"/>
    <w:tmpl w:val="E0BAC4AC"/>
    <w:lvl w:ilvl="0" w:tplc="8116A514">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266205"/>
    <w:multiLevelType w:val="hybridMultilevel"/>
    <w:tmpl w:val="64325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0614D2"/>
    <w:multiLevelType w:val="hybridMultilevel"/>
    <w:tmpl w:val="C720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893B5F"/>
    <w:multiLevelType w:val="hybridMultilevel"/>
    <w:tmpl w:val="EA3C8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91AD6"/>
    <w:multiLevelType w:val="hybridMultilevel"/>
    <w:tmpl w:val="8FBED9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A67FB"/>
    <w:multiLevelType w:val="hybridMultilevel"/>
    <w:tmpl w:val="AF0CEED4"/>
    <w:lvl w:ilvl="0" w:tplc="D248D1C8">
      <w:start w:val="1"/>
      <w:numFmt w:val="bullet"/>
      <w:lvlText w:val=""/>
      <w:lvlJc w:val="left"/>
      <w:pPr>
        <w:ind w:left="720" w:hanging="360"/>
      </w:pPr>
      <w:rPr>
        <w:rFonts w:ascii="Wingdings" w:hAnsi="Wingdings" w:hint="default"/>
        <w:color w:val="AC2E3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56E98"/>
    <w:multiLevelType w:val="hybridMultilevel"/>
    <w:tmpl w:val="9FC86314"/>
    <w:lvl w:ilvl="0" w:tplc="4DF42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7D0B0B"/>
    <w:multiLevelType w:val="hybridMultilevel"/>
    <w:tmpl w:val="B96C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65D6F"/>
    <w:multiLevelType w:val="hybridMultilevel"/>
    <w:tmpl w:val="7FA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F36C0"/>
    <w:multiLevelType w:val="hybridMultilevel"/>
    <w:tmpl w:val="6508602E"/>
    <w:lvl w:ilvl="0" w:tplc="3F7C0886">
      <w:start w:val="1"/>
      <w:numFmt w:val="decimal"/>
      <w:pStyle w:val="ListParagraph"/>
      <w:lvlText w:val="%1."/>
      <w:lvlJc w:val="right"/>
      <w:pPr>
        <w:ind w:left="720" w:hanging="360"/>
      </w:pPr>
      <w:rPr>
        <w:rFonts w:ascii="Arial" w:hAnsi="Arial" w:hint="default"/>
        <w:caps w:val="0"/>
        <w:strike w:val="0"/>
        <w:dstrike w:val="0"/>
        <w:vanish w:val="0"/>
        <w:color w:val="auto"/>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56EAD"/>
    <w:multiLevelType w:val="hybridMultilevel"/>
    <w:tmpl w:val="43826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A44BA"/>
    <w:multiLevelType w:val="hybridMultilevel"/>
    <w:tmpl w:val="39668C0A"/>
    <w:lvl w:ilvl="0" w:tplc="7E0C0A3A">
      <w:start w:val="1"/>
      <w:numFmt w:val="bullet"/>
      <w:lvlText w:val=""/>
      <w:lvlJc w:val="left"/>
      <w:pPr>
        <w:ind w:left="720" w:hanging="360"/>
      </w:pPr>
      <w:rPr>
        <w:rFonts w:ascii="Symbol" w:hAnsi="Symbol" w:hint="default"/>
      </w:rPr>
    </w:lvl>
    <w:lvl w:ilvl="1" w:tplc="E584B5D2">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7712C"/>
    <w:multiLevelType w:val="hybridMultilevel"/>
    <w:tmpl w:val="CC34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42EE7"/>
    <w:multiLevelType w:val="hybridMultilevel"/>
    <w:tmpl w:val="038A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82C27"/>
    <w:multiLevelType w:val="hybridMultilevel"/>
    <w:tmpl w:val="296C9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B75AA1"/>
    <w:multiLevelType w:val="hybridMultilevel"/>
    <w:tmpl w:val="286E5178"/>
    <w:lvl w:ilvl="0" w:tplc="0A48EDEA">
      <w:start w:val="1"/>
      <w:numFmt w:val="bullet"/>
      <w:lvlText w:val=""/>
      <w:lvlJc w:val="left"/>
      <w:pPr>
        <w:ind w:left="720" w:hanging="360"/>
      </w:pPr>
      <w:rPr>
        <w:rFonts w:ascii="Wingdings" w:hAnsi="Wingdings" w:hint="default"/>
        <w:color w:val="AC2E3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B04E0"/>
    <w:multiLevelType w:val="hybridMultilevel"/>
    <w:tmpl w:val="F6D8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D2146"/>
    <w:multiLevelType w:val="hybridMultilevel"/>
    <w:tmpl w:val="775C7C4E"/>
    <w:lvl w:ilvl="0" w:tplc="5E66E2CC">
      <w:start w:val="1"/>
      <w:numFmt w:val="bullet"/>
      <w:lvlText w:val=""/>
      <w:lvlJc w:val="left"/>
      <w:pPr>
        <w:ind w:left="720" w:hanging="360"/>
      </w:pPr>
      <w:rPr>
        <w:rFonts w:ascii="Symbol" w:hAnsi="Symbol" w:hint="default"/>
        <w:color w:val="66993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AE2B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E11C42"/>
    <w:multiLevelType w:val="hybridMultilevel"/>
    <w:tmpl w:val="A5FE7586"/>
    <w:lvl w:ilvl="0" w:tplc="0590D70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32D1E"/>
    <w:multiLevelType w:val="hybridMultilevel"/>
    <w:tmpl w:val="020A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21"/>
    <w:lvlOverride w:ilvl="0">
      <w:startOverride w:val="1"/>
    </w:lvlOverride>
  </w:num>
  <w:num w:numId="14">
    <w:abstractNumId w:val="17"/>
  </w:num>
  <w:num w:numId="15">
    <w:abstractNumId w:val="26"/>
  </w:num>
  <w:num w:numId="16">
    <w:abstractNumId w:val="20"/>
  </w:num>
  <w:num w:numId="17">
    <w:abstractNumId w:val="36"/>
  </w:num>
  <w:num w:numId="18">
    <w:abstractNumId w:val="40"/>
  </w:num>
  <w:num w:numId="19">
    <w:abstractNumId w:val="38"/>
  </w:num>
  <w:num w:numId="20">
    <w:abstractNumId w:val="19"/>
  </w:num>
  <w:num w:numId="21">
    <w:abstractNumId w:val="32"/>
  </w:num>
  <w:num w:numId="22">
    <w:abstractNumId w:val="34"/>
  </w:num>
  <w:num w:numId="23">
    <w:abstractNumId w:val="14"/>
  </w:num>
  <w:num w:numId="24">
    <w:abstractNumId w:val="33"/>
  </w:num>
  <w:num w:numId="25">
    <w:abstractNumId w:val="22"/>
  </w:num>
  <w:num w:numId="26">
    <w:abstractNumId w:val="41"/>
  </w:num>
  <w:num w:numId="27">
    <w:abstractNumId w:val="31"/>
  </w:num>
  <w:num w:numId="28">
    <w:abstractNumId w:val="18"/>
  </w:num>
  <w:num w:numId="29">
    <w:abstractNumId w:val="25"/>
  </w:num>
  <w:num w:numId="30">
    <w:abstractNumId w:val="29"/>
  </w:num>
  <w:num w:numId="31">
    <w:abstractNumId w:val="23"/>
  </w:num>
  <w:num w:numId="32">
    <w:abstractNumId w:val="28"/>
  </w:num>
  <w:num w:numId="33">
    <w:abstractNumId w:val="10"/>
  </w:num>
  <w:num w:numId="34">
    <w:abstractNumId w:val="11"/>
  </w:num>
  <w:num w:numId="35">
    <w:abstractNumId w:val="39"/>
  </w:num>
  <w:num w:numId="36">
    <w:abstractNumId w:val="35"/>
  </w:num>
  <w:num w:numId="37">
    <w:abstractNumId w:val="24"/>
  </w:num>
  <w:num w:numId="38">
    <w:abstractNumId w:val="37"/>
  </w:num>
  <w:num w:numId="39">
    <w:abstractNumId w:val="27"/>
  </w:num>
  <w:num w:numId="40">
    <w:abstractNumId w:val="15"/>
  </w:num>
  <w:num w:numId="41">
    <w:abstractNumId w:val="30"/>
  </w:num>
  <w:num w:numId="42">
    <w:abstractNumId w:val="1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4097">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ED"/>
    <w:rsid w:val="000066DD"/>
    <w:rsid w:val="00007AAF"/>
    <w:rsid w:val="00012F64"/>
    <w:rsid w:val="00022682"/>
    <w:rsid w:val="00022831"/>
    <w:rsid w:val="0002472C"/>
    <w:rsid w:val="00025964"/>
    <w:rsid w:val="00034750"/>
    <w:rsid w:val="00035015"/>
    <w:rsid w:val="00040D66"/>
    <w:rsid w:val="0004160B"/>
    <w:rsid w:val="0004217F"/>
    <w:rsid w:val="00042A36"/>
    <w:rsid w:val="000443AA"/>
    <w:rsid w:val="0004516A"/>
    <w:rsid w:val="000478E5"/>
    <w:rsid w:val="00050A38"/>
    <w:rsid w:val="00053B57"/>
    <w:rsid w:val="000547D0"/>
    <w:rsid w:val="00055A96"/>
    <w:rsid w:val="00056CC7"/>
    <w:rsid w:val="00057D88"/>
    <w:rsid w:val="00060253"/>
    <w:rsid w:val="000629E5"/>
    <w:rsid w:val="00065738"/>
    <w:rsid w:val="00065D66"/>
    <w:rsid w:val="00067C9E"/>
    <w:rsid w:val="0007012D"/>
    <w:rsid w:val="00072BA5"/>
    <w:rsid w:val="000742C3"/>
    <w:rsid w:val="000749E9"/>
    <w:rsid w:val="00080D7A"/>
    <w:rsid w:val="00082056"/>
    <w:rsid w:val="00082405"/>
    <w:rsid w:val="00085F02"/>
    <w:rsid w:val="00086FD4"/>
    <w:rsid w:val="00090CE1"/>
    <w:rsid w:val="0009732E"/>
    <w:rsid w:val="000A02E9"/>
    <w:rsid w:val="000A32B8"/>
    <w:rsid w:val="000A3901"/>
    <w:rsid w:val="000A4A2D"/>
    <w:rsid w:val="000A6B8F"/>
    <w:rsid w:val="000B2D23"/>
    <w:rsid w:val="000B3F16"/>
    <w:rsid w:val="000B4E4F"/>
    <w:rsid w:val="000D0E2B"/>
    <w:rsid w:val="000D1397"/>
    <w:rsid w:val="000D1858"/>
    <w:rsid w:val="000D4E34"/>
    <w:rsid w:val="000D5242"/>
    <w:rsid w:val="000D6A0D"/>
    <w:rsid w:val="000E4652"/>
    <w:rsid w:val="000E631A"/>
    <w:rsid w:val="000F0087"/>
    <w:rsid w:val="000F079A"/>
    <w:rsid w:val="000F0DEE"/>
    <w:rsid w:val="000F3335"/>
    <w:rsid w:val="000F3B9F"/>
    <w:rsid w:val="000F4866"/>
    <w:rsid w:val="001035C0"/>
    <w:rsid w:val="001038AF"/>
    <w:rsid w:val="001042AA"/>
    <w:rsid w:val="00113149"/>
    <w:rsid w:val="00114E21"/>
    <w:rsid w:val="001174CF"/>
    <w:rsid w:val="00122350"/>
    <w:rsid w:val="00124A6C"/>
    <w:rsid w:val="001316D2"/>
    <w:rsid w:val="00132D8A"/>
    <w:rsid w:val="001356C2"/>
    <w:rsid w:val="00137FD9"/>
    <w:rsid w:val="0014026C"/>
    <w:rsid w:val="00143725"/>
    <w:rsid w:val="001478C2"/>
    <w:rsid w:val="001534DD"/>
    <w:rsid w:val="00161DAC"/>
    <w:rsid w:val="0016309E"/>
    <w:rsid w:val="001630E5"/>
    <w:rsid w:val="00163D2A"/>
    <w:rsid w:val="00164868"/>
    <w:rsid w:val="001657F2"/>
    <w:rsid w:val="00171FA8"/>
    <w:rsid w:val="001737CE"/>
    <w:rsid w:val="00181041"/>
    <w:rsid w:val="0018267B"/>
    <w:rsid w:val="001877CA"/>
    <w:rsid w:val="00190249"/>
    <w:rsid w:val="00191094"/>
    <w:rsid w:val="0019265B"/>
    <w:rsid w:val="00193A8E"/>
    <w:rsid w:val="0019438D"/>
    <w:rsid w:val="00196692"/>
    <w:rsid w:val="001A602C"/>
    <w:rsid w:val="001B0430"/>
    <w:rsid w:val="001B11AA"/>
    <w:rsid w:val="001B33B7"/>
    <w:rsid w:val="001B60E7"/>
    <w:rsid w:val="001C0BF1"/>
    <w:rsid w:val="001C46B0"/>
    <w:rsid w:val="001D0922"/>
    <w:rsid w:val="001D3581"/>
    <w:rsid w:val="001D489E"/>
    <w:rsid w:val="001D66D9"/>
    <w:rsid w:val="001D68BE"/>
    <w:rsid w:val="001D7A15"/>
    <w:rsid w:val="001E0D96"/>
    <w:rsid w:val="001E5355"/>
    <w:rsid w:val="001F26F3"/>
    <w:rsid w:val="001F2C1B"/>
    <w:rsid w:val="001F7CBB"/>
    <w:rsid w:val="002024E1"/>
    <w:rsid w:val="0020685F"/>
    <w:rsid w:val="00210013"/>
    <w:rsid w:val="00222B4B"/>
    <w:rsid w:val="002243BC"/>
    <w:rsid w:val="00227CDA"/>
    <w:rsid w:val="002325BA"/>
    <w:rsid w:val="00232F1F"/>
    <w:rsid w:val="002342B1"/>
    <w:rsid w:val="0024229A"/>
    <w:rsid w:val="00242996"/>
    <w:rsid w:val="0024614C"/>
    <w:rsid w:val="002566DB"/>
    <w:rsid w:val="00261B84"/>
    <w:rsid w:val="00270794"/>
    <w:rsid w:val="00273960"/>
    <w:rsid w:val="00276576"/>
    <w:rsid w:val="002771FB"/>
    <w:rsid w:val="00281392"/>
    <w:rsid w:val="00292BC1"/>
    <w:rsid w:val="002A0AC8"/>
    <w:rsid w:val="002A16D5"/>
    <w:rsid w:val="002A21C6"/>
    <w:rsid w:val="002A4506"/>
    <w:rsid w:val="002A4D08"/>
    <w:rsid w:val="002C2F88"/>
    <w:rsid w:val="002C4A15"/>
    <w:rsid w:val="002D1A60"/>
    <w:rsid w:val="002D6426"/>
    <w:rsid w:val="002E2227"/>
    <w:rsid w:val="002E2559"/>
    <w:rsid w:val="002E2626"/>
    <w:rsid w:val="002E2B0B"/>
    <w:rsid w:val="002E4BEC"/>
    <w:rsid w:val="002F2220"/>
    <w:rsid w:val="002F6F8E"/>
    <w:rsid w:val="002F75C4"/>
    <w:rsid w:val="00300BC4"/>
    <w:rsid w:val="00300FCD"/>
    <w:rsid w:val="003033C0"/>
    <w:rsid w:val="003035AA"/>
    <w:rsid w:val="00303C6B"/>
    <w:rsid w:val="00304A51"/>
    <w:rsid w:val="00307CAF"/>
    <w:rsid w:val="00310198"/>
    <w:rsid w:val="00313122"/>
    <w:rsid w:val="00314817"/>
    <w:rsid w:val="00317676"/>
    <w:rsid w:val="003200DF"/>
    <w:rsid w:val="00325711"/>
    <w:rsid w:val="00326B3E"/>
    <w:rsid w:val="00326C0C"/>
    <w:rsid w:val="00330E8D"/>
    <w:rsid w:val="00340806"/>
    <w:rsid w:val="00341E1F"/>
    <w:rsid w:val="003425C3"/>
    <w:rsid w:val="00342FE0"/>
    <w:rsid w:val="00345468"/>
    <w:rsid w:val="00352188"/>
    <w:rsid w:val="003540F1"/>
    <w:rsid w:val="00363041"/>
    <w:rsid w:val="003639ED"/>
    <w:rsid w:val="003663D4"/>
    <w:rsid w:val="00367856"/>
    <w:rsid w:val="00377E7E"/>
    <w:rsid w:val="003816B6"/>
    <w:rsid w:val="00381773"/>
    <w:rsid w:val="00381D0A"/>
    <w:rsid w:val="00382B90"/>
    <w:rsid w:val="003847E4"/>
    <w:rsid w:val="00391191"/>
    <w:rsid w:val="00391CA8"/>
    <w:rsid w:val="003A06E6"/>
    <w:rsid w:val="003B2AB8"/>
    <w:rsid w:val="003B2EEC"/>
    <w:rsid w:val="003B3433"/>
    <w:rsid w:val="003B7FE6"/>
    <w:rsid w:val="003C3FA8"/>
    <w:rsid w:val="003C56B6"/>
    <w:rsid w:val="003C5BAD"/>
    <w:rsid w:val="003D0E8B"/>
    <w:rsid w:val="003D118C"/>
    <w:rsid w:val="003D64EB"/>
    <w:rsid w:val="003F2942"/>
    <w:rsid w:val="003F2EE3"/>
    <w:rsid w:val="003F6DE9"/>
    <w:rsid w:val="004026CE"/>
    <w:rsid w:val="00407BC3"/>
    <w:rsid w:val="004119AA"/>
    <w:rsid w:val="00416FCB"/>
    <w:rsid w:val="00417387"/>
    <w:rsid w:val="004261F7"/>
    <w:rsid w:val="0043011D"/>
    <w:rsid w:val="00430844"/>
    <w:rsid w:val="00434847"/>
    <w:rsid w:val="00451708"/>
    <w:rsid w:val="00451A5F"/>
    <w:rsid w:val="00451C40"/>
    <w:rsid w:val="00453977"/>
    <w:rsid w:val="004603DA"/>
    <w:rsid w:val="00466AB5"/>
    <w:rsid w:val="00471A7E"/>
    <w:rsid w:val="0047387C"/>
    <w:rsid w:val="004751FB"/>
    <w:rsid w:val="004809BE"/>
    <w:rsid w:val="004830EA"/>
    <w:rsid w:val="00486C78"/>
    <w:rsid w:val="00490E7C"/>
    <w:rsid w:val="00493DB6"/>
    <w:rsid w:val="004946BF"/>
    <w:rsid w:val="004A4070"/>
    <w:rsid w:val="004A6BA0"/>
    <w:rsid w:val="004B18AD"/>
    <w:rsid w:val="004B597F"/>
    <w:rsid w:val="004C0912"/>
    <w:rsid w:val="004C34FF"/>
    <w:rsid w:val="004C5DD1"/>
    <w:rsid w:val="004C70E4"/>
    <w:rsid w:val="004D6604"/>
    <w:rsid w:val="004E01FE"/>
    <w:rsid w:val="004E125D"/>
    <w:rsid w:val="004E48AB"/>
    <w:rsid w:val="004F4323"/>
    <w:rsid w:val="0050127B"/>
    <w:rsid w:val="005017F3"/>
    <w:rsid w:val="00501D5C"/>
    <w:rsid w:val="0051210C"/>
    <w:rsid w:val="00512B82"/>
    <w:rsid w:val="0051400F"/>
    <w:rsid w:val="0051586B"/>
    <w:rsid w:val="0052147C"/>
    <w:rsid w:val="005228A2"/>
    <w:rsid w:val="00523491"/>
    <w:rsid w:val="00523A04"/>
    <w:rsid w:val="00530E50"/>
    <w:rsid w:val="00531EC3"/>
    <w:rsid w:val="005366D2"/>
    <w:rsid w:val="0053685A"/>
    <w:rsid w:val="00536D61"/>
    <w:rsid w:val="005401AD"/>
    <w:rsid w:val="0054504F"/>
    <w:rsid w:val="00545C0D"/>
    <w:rsid w:val="005464ED"/>
    <w:rsid w:val="00567477"/>
    <w:rsid w:val="005769E8"/>
    <w:rsid w:val="0057721D"/>
    <w:rsid w:val="005B33D5"/>
    <w:rsid w:val="005C15C9"/>
    <w:rsid w:val="005C21A8"/>
    <w:rsid w:val="005C740B"/>
    <w:rsid w:val="005D010C"/>
    <w:rsid w:val="005D0599"/>
    <w:rsid w:val="005D1A4F"/>
    <w:rsid w:val="005E3C00"/>
    <w:rsid w:val="005E78E5"/>
    <w:rsid w:val="00601FDB"/>
    <w:rsid w:val="00602B4D"/>
    <w:rsid w:val="00603B12"/>
    <w:rsid w:val="00605002"/>
    <w:rsid w:val="00610499"/>
    <w:rsid w:val="00613425"/>
    <w:rsid w:val="00613A7E"/>
    <w:rsid w:val="00614F5E"/>
    <w:rsid w:val="00615EBF"/>
    <w:rsid w:val="00616A5D"/>
    <w:rsid w:val="006240DA"/>
    <w:rsid w:val="00626930"/>
    <w:rsid w:val="00632136"/>
    <w:rsid w:val="00634A32"/>
    <w:rsid w:val="00641047"/>
    <w:rsid w:val="00647C0D"/>
    <w:rsid w:val="00652A5A"/>
    <w:rsid w:val="0065700D"/>
    <w:rsid w:val="00665BB0"/>
    <w:rsid w:val="00665CED"/>
    <w:rsid w:val="00666B3E"/>
    <w:rsid w:val="00666B58"/>
    <w:rsid w:val="00670BC9"/>
    <w:rsid w:val="00674609"/>
    <w:rsid w:val="0067505E"/>
    <w:rsid w:val="006840E8"/>
    <w:rsid w:val="006864A7"/>
    <w:rsid w:val="00695F3C"/>
    <w:rsid w:val="006A2CC3"/>
    <w:rsid w:val="006A4AD2"/>
    <w:rsid w:val="006A4AE1"/>
    <w:rsid w:val="006A6C9A"/>
    <w:rsid w:val="006A7A2A"/>
    <w:rsid w:val="006C2956"/>
    <w:rsid w:val="006C491D"/>
    <w:rsid w:val="006D2965"/>
    <w:rsid w:val="006D2FCD"/>
    <w:rsid w:val="006D5137"/>
    <w:rsid w:val="006D572E"/>
    <w:rsid w:val="006E1CA6"/>
    <w:rsid w:val="006E39E8"/>
    <w:rsid w:val="006E3D99"/>
    <w:rsid w:val="006E4103"/>
    <w:rsid w:val="006E5302"/>
    <w:rsid w:val="006E561D"/>
    <w:rsid w:val="006F223D"/>
    <w:rsid w:val="006F264A"/>
    <w:rsid w:val="006F3019"/>
    <w:rsid w:val="006F35D0"/>
    <w:rsid w:val="006F424A"/>
    <w:rsid w:val="006F7169"/>
    <w:rsid w:val="00701FFE"/>
    <w:rsid w:val="00711F42"/>
    <w:rsid w:val="00711F79"/>
    <w:rsid w:val="007123D8"/>
    <w:rsid w:val="00712A09"/>
    <w:rsid w:val="007152B4"/>
    <w:rsid w:val="0071721B"/>
    <w:rsid w:val="007251E1"/>
    <w:rsid w:val="0072585F"/>
    <w:rsid w:val="00727093"/>
    <w:rsid w:val="00731A45"/>
    <w:rsid w:val="00741CEC"/>
    <w:rsid w:val="00742417"/>
    <w:rsid w:val="00744662"/>
    <w:rsid w:val="00752885"/>
    <w:rsid w:val="00756598"/>
    <w:rsid w:val="007623FB"/>
    <w:rsid w:val="00763F4C"/>
    <w:rsid w:val="007707C8"/>
    <w:rsid w:val="00780231"/>
    <w:rsid w:val="007A038E"/>
    <w:rsid w:val="007A3403"/>
    <w:rsid w:val="007A4455"/>
    <w:rsid w:val="007B49B0"/>
    <w:rsid w:val="007B5FC2"/>
    <w:rsid w:val="007B6F1B"/>
    <w:rsid w:val="007C3FA7"/>
    <w:rsid w:val="007D0070"/>
    <w:rsid w:val="007D4091"/>
    <w:rsid w:val="007D5B15"/>
    <w:rsid w:val="007E06CE"/>
    <w:rsid w:val="007E4E83"/>
    <w:rsid w:val="007E5654"/>
    <w:rsid w:val="007E6A69"/>
    <w:rsid w:val="007F16E6"/>
    <w:rsid w:val="007F2690"/>
    <w:rsid w:val="007F4D76"/>
    <w:rsid w:val="007F5969"/>
    <w:rsid w:val="007F68E1"/>
    <w:rsid w:val="007F772F"/>
    <w:rsid w:val="00800303"/>
    <w:rsid w:val="0080092D"/>
    <w:rsid w:val="00801BD1"/>
    <w:rsid w:val="00803744"/>
    <w:rsid w:val="0080542D"/>
    <w:rsid w:val="008101F9"/>
    <w:rsid w:val="00812764"/>
    <w:rsid w:val="0081598C"/>
    <w:rsid w:val="00820C57"/>
    <w:rsid w:val="00822703"/>
    <w:rsid w:val="00823261"/>
    <w:rsid w:val="008318E9"/>
    <w:rsid w:val="00832C0E"/>
    <w:rsid w:val="0083329F"/>
    <w:rsid w:val="00844FB8"/>
    <w:rsid w:val="00846FF9"/>
    <w:rsid w:val="00852352"/>
    <w:rsid w:val="00852B1A"/>
    <w:rsid w:val="00852D9D"/>
    <w:rsid w:val="00854E07"/>
    <w:rsid w:val="00865830"/>
    <w:rsid w:val="00866E1F"/>
    <w:rsid w:val="0087455D"/>
    <w:rsid w:val="00874B95"/>
    <w:rsid w:val="00876079"/>
    <w:rsid w:val="00884784"/>
    <w:rsid w:val="00885EEC"/>
    <w:rsid w:val="008863EE"/>
    <w:rsid w:val="00887447"/>
    <w:rsid w:val="008928B4"/>
    <w:rsid w:val="00897611"/>
    <w:rsid w:val="008A2163"/>
    <w:rsid w:val="008A46BF"/>
    <w:rsid w:val="008A6A11"/>
    <w:rsid w:val="008A79A3"/>
    <w:rsid w:val="008B47C8"/>
    <w:rsid w:val="008C27B3"/>
    <w:rsid w:val="008C3264"/>
    <w:rsid w:val="008C4732"/>
    <w:rsid w:val="008C5228"/>
    <w:rsid w:val="008D03F1"/>
    <w:rsid w:val="008D1689"/>
    <w:rsid w:val="008D21C3"/>
    <w:rsid w:val="008E06B3"/>
    <w:rsid w:val="008E136A"/>
    <w:rsid w:val="008E4C3B"/>
    <w:rsid w:val="008F21D9"/>
    <w:rsid w:val="008F22BD"/>
    <w:rsid w:val="008F3D8A"/>
    <w:rsid w:val="0090103D"/>
    <w:rsid w:val="00903106"/>
    <w:rsid w:val="00905CDC"/>
    <w:rsid w:val="00906DE2"/>
    <w:rsid w:val="0091148C"/>
    <w:rsid w:val="009120D9"/>
    <w:rsid w:val="00914891"/>
    <w:rsid w:val="00915567"/>
    <w:rsid w:val="00915B6F"/>
    <w:rsid w:val="009219C0"/>
    <w:rsid w:val="009236B6"/>
    <w:rsid w:val="00924928"/>
    <w:rsid w:val="00926760"/>
    <w:rsid w:val="00934909"/>
    <w:rsid w:val="00934A97"/>
    <w:rsid w:val="00941C33"/>
    <w:rsid w:val="00942F8E"/>
    <w:rsid w:val="009527B3"/>
    <w:rsid w:val="00954FED"/>
    <w:rsid w:val="00956EB6"/>
    <w:rsid w:val="00961054"/>
    <w:rsid w:val="00962D2A"/>
    <w:rsid w:val="009630B5"/>
    <w:rsid w:val="00971797"/>
    <w:rsid w:val="00976D56"/>
    <w:rsid w:val="009810FF"/>
    <w:rsid w:val="0098159D"/>
    <w:rsid w:val="0098698C"/>
    <w:rsid w:val="00990186"/>
    <w:rsid w:val="00996E00"/>
    <w:rsid w:val="00997D03"/>
    <w:rsid w:val="009A4446"/>
    <w:rsid w:val="009B255C"/>
    <w:rsid w:val="009B5BCE"/>
    <w:rsid w:val="009C508D"/>
    <w:rsid w:val="009D516E"/>
    <w:rsid w:val="009D6477"/>
    <w:rsid w:val="009E614B"/>
    <w:rsid w:val="009E7437"/>
    <w:rsid w:val="009F32F3"/>
    <w:rsid w:val="009F4576"/>
    <w:rsid w:val="00A006B2"/>
    <w:rsid w:val="00A049ED"/>
    <w:rsid w:val="00A05A5B"/>
    <w:rsid w:val="00A05E87"/>
    <w:rsid w:val="00A10BB7"/>
    <w:rsid w:val="00A12BAC"/>
    <w:rsid w:val="00A15F78"/>
    <w:rsid w:val="00A16B40"/>
    <w:rsid w:val="00A172BB"/>
    <w:rsid w:val="00A17A9B"/>
    <w:rsid w:val="00A23716"/>
    <w:rsid w:val="00A25851"/>
    <w:rsid w:val="00A27FDD"/>
    <w:rsid w:val="00A30C4E"/>
    <w:rsid w:val="00A332C6"/>
    <w:rsid w:val="00A445D8"/>
    <w:rsid w:val="00A468C6"/>
    <w:rsid w:val="00A473A1"/>
    <w:rsid w:val="00A53C70"/>
    <w:rsid w:val="00A60BC5"/>
    <w:rsid w:val="00A62137"/>
    <w:rsid w:val="00A77F73"/>
    <w:rsid w:val="00A83888"/>
    <w:rsid w:val="00A839BD"/>
    <w:rsid w:val="00A859EB"/>
    <w:rsid w:val="00A865A9"/>
    <w:rsid w:val="00A87D92"/>
    <w:rsid w:val="00A90A18"/>
    <w:rsid w:val="00A90E4C"/>
    <w:rsid w:val="00A966DD"/>
    <w:rsid w:val="00AA26F9"/>
    <w:rsid w:val="00AA395B"/>
    <w:rsid w:val="00AA70DE"/>
    <w:rsid w:val="00AB1D81"/>
    <w:rsid w:val="00AB2594"/>
    <w:rsid w:val="00AB693F"/>
    <w:rsid w:val="00AB7A31"/>
    <w:rsid w:val="00AC441D"/>
    <w:rsid w:val="00AC55C7"/>
    <w:rsid w:val="00AD4F38"/>
    <w:rsid w:val="00AD5432"/>
    <w:rsid w:val="00AD5E8B"/>
    <w:rsid w:val="00AD7A04"/>
    <w:rsid w:val="00AE0170"/>
    <w:rsid w:val="00AE0DC6"/>
    <w:rsid w:val="00AE16F3"/>
    <w:rsid w:val="00AE1C6A"/>
    <w:rsid w:val="00AE5E10"/>
    <w:rsid w:val="00AE7C74"/>
    <w:rsid w:val="00AF7D23"/>
    <w:rsid w:val="00B0084C"/>
    <w:rsid w:val="00B07E47"/>
    <w:rsid w:val="00B13A17"/>
    <w:rsid w:val="00B13D2C"/>
    <w:rsid w:val="00B1407D"/>
    <w:rsid w:val="00B23B88"/>
    <w:rsid w:val="00B247C0"/>
    <w:rsid w:val="00B2551D"/>
    <w:rsid w:val="00B33B5B"/>
    <w:rsid w:val="00B33BAB"/>
    <w:rsid w:val="00B440A7"/>
    <w:rsid w:val="00B51A48"/>
    <w:rsid w:val="00B54708"/>
    <w:rsid w:val="00B6167B"/>
    <w:rsid w:val="00B75467"/>
    <w:rsid w:val="00B771E9"/>
    <w:rsid w:val="00B820A5"/>
    <w:rsid w:val="00B82F70"/>
    <w:rsid w:val="00B85C66"/>
    <w:rsid w:val="00B86B9C"/>
    <w:rsid w:val="00B87A16"/>
    <w:rsid w:val="00B90430"/>
    <w:rsid w:val="00B917BB"/>
    <w:rsid w:val="00B94183"/>
    <w:rsid w:val="00B96ED7"/>
    <w:rsid w:val="00BA0147"/>
    <w:rsid w:val="00BB3AC1"/>
    <w:rsid w:val="00BB4E95"/>
    <w:rsid w:val="00BC0328"/>
    <w:rsid w:val="00BC4DD3"/>
    <w:rsid w:val="00BC5FBD"/>
    <w:rsid w:val="00BC6395"/>
    <w:rsid w:val="00BD305F"/>
    <w:rsid w:val="00BD3DE2"/>
    <w:rsid w:val="00BD3E5F"/>
    <w:rsid w:val="00BE41A1"/>
    <w:rsid w:val="00BE4AE5"/>
    <w:rsid w:val="00BE56CE"/>
    <w:rsid w:val="00BF214D"/>
    <w:rsid w:val="00BF5938"/>
    <w:rsid w:val="00C03930"/>
    <w:rsid w:val="00C04754"/>
    <w:rsid w:val="00C05509"/>
    <w:rsid w:val="00C1093F"/>
    <w:rsid w:val="00C11B5A"/>
    <w:rsid w:val="00C1416A"/>
    <w:rsid w:val="00C214AA"/>
    <w:rsid w:val="00C22386"/>
    <w:rsid w:val="00C23687"/>
    <w:rsid w:val="00C23CCB"/>
    <w:rsid w:val="00C32FDE"/>
    <w:rsid w:val="00C33220"/>
    <w:rsid w:val="00C346D3"/>
    <w:rsid w:val="00C36066"/>
    <w:rsid w:val="00C37B4B"/>
    <w:rsid w:val="00C41AD9"/>
    <w:rsid w:val="00C44929"/>
    <w:rsid w:val="00C501FC"/>
    <w:rsid w:val="00C533F5"/>
    <w:rsid w:val="00C54B69"/>
    <w:rsid w:val="00C54ECE"/>
    <w:rsid w:val="00C550B1"/>
    <w:rsid w:val="00C56A32"/>
    <w:rsid w:val="00C623E1"/>
    <w:rsid w:val="00C64D79"/>
    <w:rsid w:val="00C65F31"/>
    <w:rsid w:val="00C66B47"/>
    <w:rsid w:val="00C70F40"/>
    <w:rsid w:val="00C71856"/>
    <w:rsid w:val="00C80E91"/>
    <w:rsid w:val="00C82D11"/>
    <w:rsid w:val="00C84820"/>
    <w:rsid w:val="00C84CCE"/>
    <w:rsid w:val="00C96A60"/>
    <w:rsid w:val="00CA3DFE"/>
    <w:rsid w:val="00CB4052"/>
    <w:rsid w:val="00CC0D4E"/>
    <w:rsid w:val="00CC14F3"/>
    <w:rsid w:val="00CC3249"/>
    <w:rsid w:val="00CC6644"/>
    <w:rsid w:val="00CC69B1"/>
    <w:rsid w:val="00CD470F"/>
    <w:rsid w:val="00CD4887"/>
    <w:rsid w:val="00CD5E4C"/>
    <w:rsid w:val="00CE25C5"/>
    <w:rsid w:val="00CE33FA"/>
    <w:rsid w:val="00CE66AB"/>
    <w:rsid w:val="00CE72CB"/>
    <w:rsid w:val="00CE78A4"/>
    <w:rsid w:val="00CF000D"/>
    <w:rsid w:val="00CF231F"/>
    <w:rsid w:val="00CF4280"/>
    <w:rsid w:val="00CF569D"/>
    <w:rsid w:val="00CF740C"/>
    <w:rsid w:val="00D00B98"/>
    <w:rsid w:val="00D020CA"/>
    <w:rsid w:val="00D024B7"/>
    <w:rsid w:val="00D02CCB"/>
    <w:rsid w:val="00D11DD5"/>
    <w:rsid w:val="00D12508"/>
    <w:rsid w:val="00D13882"/>
    <w:rsid w:val="00D17105"/>
    <w:rsid w:val="00D20791"/>
    <w:rsid w:val="00D23980"/>
    <w:rsid w:val="00D33824"/>
    <w:rsid w:val="00D34821"/>
    <w:rsid w:val="00D3566A"/>
    <w:rsid w:val="00D37991"/>
    <w:rsid w:val="00D44508"/>
    <w:rsid w:val="00D446E3"/>
    <w:rsid w:val="00D46212"/>
    <w:rsid w:val="00D54E9D"/>
    <w:rsid w:val="00D55AC7"/>
    <w:rsid w:val="00D61D19"/>
    <w:rsid w:val="00D63FAA"/>
    <w:rsid w:val="00D65456"/>
    <w:rsid w:val="00D71E02"/>
    <w:rsid w:val="00D7675D"/>
    <w:rsid w:val="00D82E41"/>
    <w:rsid w:val="00D84EA2"/>
    <w:rsid w:val="00D85F69"/>
    <w:rsid w:val="00D9190B"/>
    <w:rsid w:val="00D91D57"/>
    <w:rsid w:val="00D9231C"/>
    <w:rsid w:val="00D934C7"/>
    <w:rsid w:val="00D94A16"/>
    <w:rsid w:val="00D95A1E"/>
    <w:rsid w:val="00D962C4"/>
    <w:rsid w:val="00D96961"/>
    <w:rsid w:val="00D97935"/>
    <w:rsid w:val="00DA024F"/>
    <w:rsid w:val="00DA0943"/>
    <w:rsid w:val="00DA6F26"/>
    <w:rsid w:val="00DB3A1F"/>
    <w:rsid w:val="00DB4EDB"/>
    <w:rsid w:val="00DB573A"/>
    <w:rsid w:val="00DB6D8D"/>
    <w:rsid w:val="00DB739B"/>
    <w:rsid w:val="00DC019D"/>
    <w:rsid w:val="00DC748D"/>
    <w:rsid w:val="00DD2496"/>
    <w:rsid w:val="00DD2A5F"/>
    <w:rsid w:val="00DD48BF"/>
    <w:rsid w:val="00DD65F2"/>
    <w:rsid w:val="00DE0554"/>
    <w:rsid w:val="00DE2DA6"/>
    <w:rsid w:val="00DE5CFD"/>
    <w:rsid w:val="00DF1893"/>
    <w:rsid w:val="00DF2194"/>
    <w:rsid w:val="00DF2682"/>
    <w:rsid w:val="00DF67AC"/>
    <w:rsid w:val="00E01C56"/>
    <w:rsid w:val="00E01F73"/>
    <w:rsid w:val="00E11784"/>
    <w:rsid w:val="00E2363C"/>
    <w:rsid w:val="00E2443B"/>
    <w:rsid w:val="00E305EA"/>
    <w:rsid w:val="00E313A3"/>
    <w:rsid w:val="00E32CE5"/>
    <w:rsid w:val="00E344C3"/>
    <w:rsid w:val="00E3485A"/>
    <w:rsid w:val="00E40D8E"/>
    <w:rsid w:val="00E439A2"/>
    <w:rsid w:val="00E45D61"/>
    <w:rsid w:val="00E4685C"/>
    <w:rsid w:val="00E46A75"/>
    <w:rsid w:val="00E47CAC"/>
    <w:rsid w:val="00E566B7"/>
    <w:rsid w:val="00E57469"/>
    <w:rsid w:val="00E60CA7"/>
    <w:rsid w:val="00E709EF"/>
    <w:rsid w:val="00E73660"/>
    <w:rsid w:val="00E73D07"/>
    <w:rsid w:val="00E74127"/>
    <w:rsid w:val="00E802C1"/>
    <w:rsid w:val="00E82FE3"/>
    <w:rsid w:val="00E830E2"/>
    <w:rsid w:val="00E85F01"/>
    <w:rsid w:val="00E908CE"/>
    <w:rsid w:val="00E958E5"/>
    <w:rsid w:val="00E97464"/>
    <w:rsid w:val="00EA0CFF"/>
    <w:rsid w:val="00EA18A3"/>
    <w:rsid w:val="00EB2DE7"/>
    <w:rsid w:val="00EC272B"/>
    <w:rsid w:val="00EC575A"/>
    <w:rsid w:val="00EC63C7"/>
    <w:rsid w:val="00EE22FD"/>
    <w:rsid w:val="00EE619A"/>
    <w:rsid w:val="00EE70A4"/>
    <w:rsid w:val="00EF5CA8"/>
    <w:rsid w:val="00F02316"/>
    <w:rsid w:val="00F04361"/>
    <w:rsid w:val="00F07EAA"/>
    <w:rsid w:val="00F12BD8"/>
    <w:rsid w:val="00F133A6"/>
    <w:rsid w:val="00F15C1B"/>
    <w:rsid w:val="00F21E18"/>
    <w:rsid w:val="00F27179"/>
    <w:rsid w:val="00F3264C"/>
    <w:rsid w:val="00F3470E"/>
    <w:rsid w:val="00F37FDB"/>
    <w:rsid w:val="00F465AF"/>
    <w:rsid w:val="00F54F02"/>
    <w:rsid w:val="00F62EAB"/>
    <w:rsid w:val="00F63952"/>
    <w:rsid w:val="00F63AFE"/>
    <w:rsid w:val="00F65428"/>
    <w:rsid w:val="00F72D2C"/>
    <w:rsid w:val="00F77625"/>
    <w:rsid w:val="00F77E02"/>
    <w:rsid w:val="00F80A20"/>
    <w:rsid w:val="00F80C45"/>
    <w:rsid w:val="00F85581"/>
    <w:rsid w:val="00F87CB1"/>
    <w:rsid w:val="00F9331D"/>
    <w:rsid w:val="00F972A8"/>
    <w:rsid w:val="00FA1072"/>
    <w:rsid w:val="00FA34DF"/>
    <w:rsid w:val="00FA4349"/>
    <w:rsid w:val="00FA50C5"/>
    <w:rsid w:val="00FB0A87"/>
    <w:rsid w:val="00FB1B19"/>
    <w:rsid w:val="00FB1E7F"/>
    <w:rsid w:val="00FB4873"/>
    <w:rsid w:val="00FB6BBD"/>
    <w:rsid w:val="00FB7E02"/>
    <w:rsid w:val="00FC4030"/>
    <w:rsid w:val="00FC59D8"/>
    <w:rsid w:val="00FC6B6D"/>
    <w:rsid w:val="00FD1D2A"/>
    <w:rsid w:val="00FD3F81"/>
    <w:rsid w:val="00FE0B2B"/>
    <w:rsid w:val="00FE10CC"/>
    <w:rsid w:val="00FE7472"/>
    <w:rsid w:val="00FE786D"/>
    <w:rsid w:val="00FE7919"/>
    <w:rsid w:val="00FF3D0B"/>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5C99D1F5"/>
  <w15:docId w15:val="{F0848F96-ECDD-4AF6-8190-F0D0E38D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EAA"/>
    <w:rPr>
      <w:rFonts w:ascii="Arial" w:hAnsi="Arial" w:cs="Arial"/>
      <w:sz w:val="22"/>
      <w:szCs w:val="24"/>
    </w:rPr>
  </w:style>
  <w:style w:type="paragraph" w:styleId="Heading1">
    <w:name w:val="heading 1"/>
    <w:basedOn w:val="Normal"/>
    <w:next w:val="Normal"/>
    <w:qFormat/>
    <w:rsid w:val="00634A32"/>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962D2A"/>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7D5B15"/>
    <w:pPr>
      <w:keepNext/>
      <w:keepLines/>
      <w:spacing w:before="200"/>
      <w:outlineLvl w:val="2"/>
    </w:pPr>
    <w:rPr>
      <w:rFonts w:ascii="Cambria" w:hAnsi="Cambria" w:cs="Times New Roman"/>
      <w:b/>
      <w:bCs/>
      <w:color w:val="00528B"/>
      <w:sz w:val="24"/>
    </w:rPr>
  </w:style>
  <w:style w:type="paragraph" w:styleId="Heading7">
    <w:name w:val="heading 7"/>
    <w:basedOn w:val="Normal"/>
    <w:next w:val="Normal"/>
    <w:qFormat/>
    <w:rsid w:val="00634A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962D2A"/>
    <w:rPr>
      <w:rFonts w:ascii="Cambria" w:eastAsia="Times New Roman" w:hAnsi="Cambria" w:cs="Times New Roman"/>
      <w:b/>
      <w:bCs/>
      <w:i/>
      <w:iCs/>
      <w:sz w:val="28"/>
      <w:szCs w:val="28"/>
    </w:rPr>
  </w:style>
  <w:style w:type="character" w:customStyle="1" w:styleId="Heading3Char">
    <w:name w:val="Heading 3 Char"/>
    <w:link w:val="Heading3"/>
    <w:semiHidden/>
    <w:rsid w:val="007D5B15"/>
    <w:rPr>
      <w:rFonts w:ascii="Cambria" w:eastAsia="Times New Roman" w:hAnsi="Cambria" w:cs="Times New Roman"/>
      <w:b/>
      <w:bCs/>
      <w:color w:val="00528B"/>
      <w:sz w:val="24"/>
      <w:szCs w:val="24"/>
    </w:rPr>
  </w:style>
  <w:style w:type="paragraph" w:customStyle="1" w:styleId="HAppendix">
    <w:name w:val="H_Appendix"/>
    <w:basedOn w:val="HLevel1"/>
    <w:next w:val="Normal"/>
    <w:rsid w:val="00F15C1B"/>
  </w:style>
  <w:style w:type="paragraph" w:customStyle="1" w:styleId="HBodyText">
    <w:name w:val="H_Body Text"/>
    <w:basedOn w:val="Normal"/>
    <w:link w:val="HBodyTextChar"/>
    <w:rsid w:val="004261F7"/>
  </w:style>
  <w:style w:type="paragraph" w:customStyle="1" w:styleId="HFigure">
    <w:name w:val="H_Figure"/>
    <w:basedOn w:val="Normal"/>
    <w:qFormat/>
    <w:rsid w:val="00C04754"/>
    <w:pPr>
      <w:keepNext/>
      <w:spacing w:before="60"/>
      <w:outlineLvl w:val="0"/>
    </w:pPr>
    <w:rPr>
      <w:b/>
      <w:bCs/>
      <w:i/>
      <w:color w:val="0080BA"/>
      <w:kern w:val="32"/>
      <w:sz w:val="20"/>
      <w:szCs w:val="20"/>
    </w:rPr>
  </w:style>
  <w:style w:type="paragraph" w:customStyle="1" w:styleId="HLevel1">
    <w:name w:val="H_Level 1"/>
    <w:basedOn w:val="Heading1"/>
    <w:next w:val="HBodyText"/>
    <w:autoRedefine/>
    <w:rsid w:val="00113149"/>
    <w:pPr>
      <w:spacing w:before="0" w:after="240"/>
      <w:jc w:val="center"/>
    </w:pPr>
    <w:rPr>
      <w:color w:val="0080BA"/>
      <w:sz w:val="22"/>
      <w:szCs w:val="22"/>
    </w:rPr>
  </w:style>
  <w:style w:type="paragraph" w:customStyle="1" w:styleId="HLevel2">
    <w:name w:val="H_Level 2"/>
    <w:next w:val="HBodyText"/>
    <w:autoRedefine/>
    <w:qFormat/>
    <w:rsid w:val="006D2FCD"/>
    <w:pPr>
      <w:keepNext/>
      <w:spacing w:after="240"/>
      <w:jc w:val="center"/>
    </w:pPr>
    <w:rPr>
      <w:rFonts w:ascii="Arial" w:hAnsi="Arial" w:cs="Arial"/>
      <w:b/>
      <w:bCs/>
      <w:i/>
      <w:iCs/>
      <w:noProof/>
      <w:color w:val="0080BA"/>
      <w:sz w:val="22"/>
      <w:szCs w:val="22"/>
    </w:rPr>
  </w:style>
  <w:style w:type="paragraph" w:customStyle="1" w:styleId="HLevel3">
    <w:name w:val="H_Level 3"/>
    <w:basedOn w:val="Normal"/>
    <w:next w:val="HBodyText"/>
    <w:autoRedefine/>
    <w:qFormat/>
    <w:rsid w:val="007D0070"/>
    <w:pPr>
      <w:keepNext/>
      <w:spacing w:after="240"/>
    </w:pPr>
    <w:rPr>
      <w:b/>
      <w:noProof/>
      <w:color w:val="0080BA"/>
      <w:szCs w:val="22"/>
    </w:rPr>
  </w:style>
  <w:style w:type="paragraph" w:customStyle="1" w:styleId="HTitleBlue">
    <w:name w:val="H_Title (Blue)"/>
    <w:basedOn w:val="HTitleWhite"/>
    <w:qFormat/>
    <w:rsid w:val="006E4103"/>
    <w:rPr>
      <w:color w:val="0080BA"/>
    </w:rPr>
  </w:style>
  <w:style w:type="paragraph" w:styleId="ListParagraph">
    <w:name w:val="List Paragraph"/>
    <w:basedOn w:val="BodyText1"/>
    <w:link w:val="ListParagraphChar"/>
    <w:uiPriority w:val="34"/>
    <w:qFormat/>
    <w:rsid w:val="00FD3F81"/>
    <w:pPr>
      <w:numPr>
        <w:numId w:val="41"/>
      </w:numPr>
      <w:tabs>
        <w:tab w:val="left" w:pos="990"/>
      </w:tabs>
      <w:spacing w:before="120"/>
      <w:ind w:left="990" w:hanging="270"/>
    </w:pPr>
    <w:rPr>
      <w:bCs/>
      <w:color w:val="auto"/>
      <w:szCs w:val="22"/>
    </w:rPr>
  </w:style>
  <w:style w:type="paragraph" w:customStyle="1" w:styleId="HNoteReference">
    <w:name w:val="H_Note Reference"/>
    <w:basedOn w:val="Normal"/>
    <w:next w:val="HBodyText"/>
    <w:rsid w:val="004261F7"/>
    <w:pPr>
      <w:spacing w:before="60"/>
    </w:pPr>
    <w:rPr>
      <w:snapToGrid w:val="0"/>
      <w:sz w:val="20"/>
    </w:rPr>
  </w:style>
  <w:style w:type="paragraph" w:styleId="Footer">
    <w:name w:val="footer"/>
    <w:basedOn w:val="Normal"/>
    <w:link w:val="FooterChar"/>
    <w:uiPriority w:val="99"/>
    <w:rsid w:val="00F15C1B"/>
    <w:pPr>
      <w:pBdr>
        <w:top w:val="single" w:sz="4" w:space="1" w:color="669933"/>
      </w:pBdr>
      <w:tabs>
        <w:tab w:val="right" w:pos="9360"/>
      </w:tabs>
      <w:spacing w:line="240" w:lineRule="atLeast"/>
      <w:jc w:val="both"/>
    </w:pPr>
    <w:rPr>
      <w:rFonts w:cs="Times New Roman"/>
      <w:color w:val="231F20"/>
      <w:sz w:val="18"/>
      <w:szCs w:val="18"/>
    </w:rPr>
  </w:style>
  <w:style w:type="character" w:customStyle="1" w:styleId="FooterChar">
    <w:name w:val="Footer Char"/>
    <w:link w:val="Footer"/>
    <w:uiPriority w:val="99"/>
    <w:rsid w:val="00F15C1B"/>
    <w:rPr>
      <w:rFonts w:ascii="Arial" w:hAnsi="Arial" w:cs="Arial"/>
      <w:color w:val="231F20"/>
      <w:sz w:val="18"/>
      <w:szCs w:val="18"/>
    </w:rPr>
  </w:style>
  <w:style w:type="paragraph" w:customStyle="1" w:styleId="HReferences">
    <w:name w:val="H_References"/>
    <w:basedOn w:val="Normal"/>
    <w:rsid w:val="004261F7"/>
    <w:pPr>
      <w:spacing w:after="240"/>
      <w:ind w:left="720" w:hanging="720"/>
    </w:pPr>
  </w:style>
  <w:style w:type="paragraph" w:customStyle="1" w:styleId="HSubtitle">
    <w:name w:val="H_Subtitle"/>
    <w:basedOn w:val="Normal"/>
    <w:qFormat/>
    <w:rsid w:val="00523491"/>
    <w:pPr>
      <w:jc w:val="center"/>
    </w:pPr>
    <w:rPr>
      <w:rFonts w:ascii="Arial Narrow" w:hAnsi="Arial Narrow"/>
      <w:color w:val="669933"/>
      <w:sz w:val="40"/>
      <w:szCs w:val="40"/>
    </w:rPr>
  </w:style>
  <w:style w:type="paragraph" w:customStyle="1" w:styleId="HTitleWhite">
    <w:name w:val="H_Title (White)"/>
    <w:basedOn w:val="Normal"/>
    <w:qFormat/>
    <w:rsid w:val="004261F7"/>
    <w:pPr>
      <w:jc w:val="center"/>
    </w:pPr>
    <w:rPr>
      <w:rFonts w:ascii="Arial Narrow" w:hAnsi="Arial Narrow"/>
      <w:b/>
      <w:color w:val="FFFFFF"/>
      <w:sz w:val="48"/>
      <w:szCs w:val="48"/>
    </w:rPr>
  </w:style>
  <w:style w:type="paragraph" w:customStyle="1" w:styleId="HNewReportNumber">
    <w:name w:val="H_New Report Number"/>
    <w:basedOn w:val="Normal"/>
    <w:rsid w:val="004261F7"/>
    <w:pPr>
      <w:tabs>
        <w:tab w:val="right" w:pos="10080"/>
      </w:tabs>
      <w:jc w:val="right"/>
    </w:pPr>
    <w:rPr>
      <w:rFonts w:ascii="Arial Narrow" w:hAnsi="Arial Narrow"/>
      <w:b/>
      <w:color w:val="FFFFFF"/>
    </w:rPr>
  </w:style>
  <w:style w:type="paragraph" w:customStyle="1" w:styleId="HTable">
    <w:name w:val="H_Table"/>
    <w:basedOn w:val="HFigure"/>
    <w:autoRedefine/>
    <w:rsid w:val="007D0070"/>
    <w:pPr>
      <w:spacing w:before="0" w:after="60"/>
    </w:pPr>
    <w:rPr>
      <w:sz w:val="22"/>
      <w:szCs w:val="22"/>
    </w:rPr>
  </w:style>
  <w:style w:type="paragraph" w:customStyle="1" w:styleId="PhotoBox">
    <w:name w:val="Photo Box"/>
    <w:basedOn w:val="Normal"/>
    <w:rsid w:val="00865830"/>
    <w:pPr>
      <w:spacing w:line="300" w:lineRule="atLeast"/>
      <w:jc w:val="center"/>
    </w:pPr>
    <w:rPr>
      <w:rFonts w:cs="Times New Roman"/>
      <w:caps/>
      <w:color w:val="000000"/>
      <w:sz w:val="20"/>
    </w:rPr>
  </w:style>
  <w:style w:type="table" w:styleId="TableGrid">
    <w:name w:val="Table Grid"/>
    <w:basedOn w:val="TableNormal"/>
    <w:uiPriority w:val="59"/>
    <w:rsid w:val="00865830"/>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HeadingWhite">
    <w:name w:val="Table Heading White"/>
    <w:next w:val="Normal"/>
    <w:rsid w:val="00865830"/>
    <w:pPr>
      <w:jc w:val="center"/>
    </w:pPr>
    <w:rPr>
      <w:rFonts w:ascii="Arial" w:hAnsi="Arial" w:cs="Tahoma"/>
      <w:b/>
      <w:bCs/>
      <w:color w:val="FFFFFF"/>
      <w:sz w:val="24"/>
      <w:szCs w:val="24"/>
    </w:rPr>
  </w:style>
  <w:style w:type="character" w:customStyle="1" w:styleId="TableHeadingBlackChar">
    <w:name w:val="Table Heading Black Char"/>
    <w:rsid w:val="00865830"/>
    <w:rPr>
      <w:rFonts w:ascii="Tahoma" w:hAnsi="Tahoma" w:cs="Tahoma"/>
      <w:b/>
      <w:bCs/>
      <w:sz w:val="24"/>
      <w:szCs w:val="24"/>
      <w:lang w:val="en-US" w:eastAsia="en-US"/>
    </w:rPr>
  </w:style>
  <w:style w:type="paragraph" w:customStyle="1" w:styleId="BodyText1">
    <w:name w:val="Body Text1"/>
    <w:basedOn w:val="Normal"/>
    <w:link w:val="BodytextChar"/>
    <w:rsid w:val="00BC6395"/>
    <w:pPr>
      <w:spacing w:before="200"/>
    </w:pPr>
    <w:rPr>
      <w:rFonts w:cs="Times New Roman"/>
      <w:color w:val="333333"/>
      <w:szCs w:val="20"/>
    </w:rPr>
  </w:style>
  <w:style w:type="character" w:customStyle="1" w:styleId="BodytextChar">
    <w:name w:val="Body text Char"/>
    <w:link w:val="BodyText1"/>
    <w:rsid w:val="00BC6395"/>
    <w:rPr>
      <w:rFonts w:ascii="Arial" w:hAnsi="Arial"/>
      <w:color w:val="333333"/>
      <w:sz w:val="22"/>
    </w:rPr>
  </w:style>
  <w:style w:type="paragraph" w:customStyle="1" w:styleId="StyleBodytextBold">
    <w:name w:val="Style Body text + Bold"/>
    <w:basedOn w:val="BodyText1"/>
    <w:link w:val="StyleBodytextBoldChar"/>
    <w:rsid w:val="00865830"/>
    <w:rPr>
      <w:b/>
      <w:bCs/>
      <w:sz w:val="20"/>
    </w:rPr>
  </w:style>
  <w:style w:type="character" w:customStyle="1" w:styleId="StyleBodytextBoldChar">
    <w:name w:val="Style Body text + Bold Char"/>
    <w:link w:val="StyleBodytextBold"/>
    <w:rsid w:val="00865830"/>
    <w:rPr>
      <w:rFonts w:ascii="Arial" w:hAnsi="Arial"/>
      <w:b/>
      <w:bCs/>
      <w:color w:val="333333"/>
    </w:rPr>
  </w:style>
  <w:style w:type="paragraph" w:customStyle="1" w:styleId="Sidebarheader">
    <w:name w:val="Sidebar header"/>
    <w:basedOn w:val="Normal"/>
    <w:link w:val="SidebarheaderChar"/>
    <w:qFormat/>
    <w:rsid w:val="00F15C1B"/>
    <w:pPr>
      <w:spacing w:before="240" w:after="120"/>
    </w:pPr>
    <w:rPr>
      <w:rFonts w:cs="Times New Roman"/>
      <w:b/>
      <w:color w:val="00528B"/>
      <w:sz w:val="28"/>
    </w:rPr>
  </w:style>
  <w:style w:type="character" w:customStyle="1" w:styleId="SidebarheaderChar">
    <w:name w:val="Sidebar header Char"/>
    <w:link w:val="Sidebarheader"/>
    <w:rsid w:val="00F15C1B"/>
    <w:rPr>
      <w:rFonts w:ascii="Arial" w:hAnsi="Arial"/>
      <w:b/>
      <w:color w:val="00528B"/>
      <w:sz w:val="28"/>
      <w:szCs w:val="24"/>
    </w:rPr>
  </w:style>
  <w:style w:type="paragraph" w:customStyle="1" w:styleId="Sidebartext">
    <w:name w:val="Sidebar text"/>
    <w:basedOn w:val="BodyText1"/>
    <w:link w:val="SidebartextChar"/>
    <w:qFormat/>
    <w:rsid w:val="00F15C1B"/>
    <w:rPr>
      <w:color w:val="0080BA"/>
      <w:szCs w:val="22"/>
    </w:rPr>
  </w:style>
  <w:style w:type="character" w:customStyle="1" w:styleId="SidebartextChar">
    <w:name w:val="Sidebar text Char"/>
    <w:link w:val="Sidebartext"/>
    <w:rsid w:val="00F15C1B"/>
    <w:rPr>
      <w:rFonts w:ascii="Arial" w:hAnsi="Arial"/>
      <w:color w:val="0080BA"/>
      <w:sz w:val="22"/>
      <w:szCs w:val="22"/>
    </w:rPr>
  </w:style>
  <w:style w:type="paragraph" w:styleId="TOC1">
    <w:name w:val="toc 1"/>
    <w:basedOn w:val="Normal"/>
    <w:next w:val="Normal"/>
    <w:autoRedefine/>
    <w:uiPriority w:val="39"/>
    <w:rsid w:val="003F2942"/>
    <w:pPr>
      <w:tabs>
        <w:tab w:val="right" w:leader="dot" w:pos="9350"/>
      </w:tabs>
      <w:spacing w:before="240"/>
      <w:ind w:right="576"/>
    </w:pPr>
  </w:style>
  <w:style w:type="paragraph" w:styleId="TOC2">
    <w:name w:val="toc 2"/>
    <w:basedOn w:val="Normal"/>
    <w:next w:val="Normal"/>
    <w:autoRedefine/>
    <w:uiPriority w:val="39"/>
    <w:rsid w:val="00164868"/>
    <w:pPr>
      <w:tabs>
        <w:tab w:val="right" w:leader="dot" w:pos="9350"/>
      </w:tabs>
      <w:spacing w:before="80"/>
      <w:ind w:left="245" w:right="576"/>
    </w:pPr>
  </w:style>
  <w:style w:type="paragraph" w:styleId="TOC3">
    <w:name w:val="toc 3"/>
    <w:basedOn w:val="Normal"/>
    <w:next w:val="Normal"/>
    <w:autoRedefine/>
    <w:uiPriority w:val="39"/>
    <w:rsid w:val="00164868"/>
    <w:pPr>
      <w:tabs>
        <w:tab w:val="right" w:leader="dot" w:pos="9350"/>
      </w:tabs>
      <w:spacing w:before="40"/>
      <w:ind w:left="490" w:right="576"/>
    </w:pPr>
  </w:style>
  <w:style w:type="paragraph" w:customStyle="1" w:styleId="HReportTitle">
    <w:name w:val="H_Report Title"/>
    <w:basedOn w:val="HTitleBlue"/>
    <w:rsid w:val="00F15C1B"/>
    <w:rPr>
      <w:rFonts w:eastAsia="Calibri"/>
      <w:sz w:val="32"/>
      <w:szCs w:val="32"/>
    </w:rPr>
  </w:style>
  <w:style w:type="paragraph" w:styleId="Header">
    <w:name w:val="header"/>
    <w:basedOn w:val="Normal"/>
    <w:link w:val="HeaderChar"/>
    <w:uiPriority w:val="99"/>
    <w:rsid w:val="001B11AA"/>
    <w:pPr>
      <w:tabs>
        <w:tab w:val="center" w:pos="4680"/>
        <w:tab w:val="right" w:pos="9360"/>
      </w:tabs>
    </w:pPr>
    <w:rPr>
      <w:rFonts w:cs="Times New Roman"/>
    </w:rPr>
  </w:style>
  <w:style w:type="character" w:customStyle="1" w:styleId="HeaderChar">
    <w:name w:val="Header Char"/>
    <w:link w:val="Header"/>
    <w:uiPriority w:val="99"/>
    <w:rsid w:val="001B11AA"/>
    <w:rPr>
      <w:rFonts w:ascii="Arial" w:hAnsi="Arial" w:cs="Arial"/>
      <w:sz w:val="22"/>
      <w:szCs w:val="24"/>
    </w:rPr>
  </w:style>
  <w:style w:type="paragraph" w:styleId="NormalWeb">
    <w:name w:val="Normal (Web)"/>
    <w:basedOn w:val="Normal"/>
    <w:uiPriority w:val="99"/>
    <w:unhideWhenUsed/>
    <w:rsid w:val="00AB693F"/>
    <w:pPr>
      <w:spacing w:before="100" w:beforeAutospacing="1" w:after="100" w:afterAutospacing="1"/>
    </w:pPr>
    <w:rPr>
      <w:rFonts w:ascii="Times New Roman" w:hAnsi="Times New Roman" w:cs="Times New Roman"/>
      <w:sz w:val="24"/>
    </w:rPr>
  </w:style>
  <w:style w:type="paragraph" w:styleId="TableofFigures">
    <w:name w:val="table of figures"/>
    <w:basedOn w:val="Normal"/>
    <w:next w:val="Normal"/>
    <w:autoRedefine/>
    <w:uiPriority w:val="99"/>
    <w:rsid w:val="00164868"/>
    <w:pPr>
      <w:tabs>
        <w:tab w:val="right" w:leader="dot" w:pos="9350"/>
      </w:tabs>
      <w:spacing w:after="60"/>
      <w:ind w:left="648" w:right="576" w:hanging="648"/>
    </w:pPr>
  </w:style>
  <w:style w:type="character" w:styleId="Hyperlink">
    <w:name w:val="Hyperlink"/>
    <w:basedOn w:val="DefaultParagraphFont"/>
    <w:uiPriority w:val="99"/>
    <w:unhideWhenUsed/>
    <w:rsid w:val="002C4A15"/>
    <w:rPr>
      <w:color w:val="0000FF" w:themeColor="hyperlink"/>
      <w:u w:val="none"/>
    </w:rPr>
  </w:style>
  <w:style w:type="paragraph" w:styleId="CommentText">
    <w:name w:val="annotation text"/>
    <w:basedOn w:val="Normal"/>
    <w:link w:val="CommentTextChar"/>
    <w:unhideWhenUsed/>
    <w:rsid w:val="004D6604"/>
    <w:rPr>
      <w:sz w:val="20"/>
      <w:szCs w:val="20"/>
    </w:rPr>
  </w:style>
  <w:style w:type="character" w:customStyle="1" w:styleId="CommentTextChar">
    <w:name w:val="Comment Text Char"/>
    <w:basedOn w:val="DefaultParagraphFont"/>
    <w:link w:val="CommentText"/>
    <w:rsid w:val="004D6604"/>
    <w:rPr>
      <w:rFonts w:ascii="Arial" w:hAnsi="Arial" w:cs="Arial"/>
    </w:rPr>
  </w:style>
  <w:style w:type="character" w:styleId="CommentReference">
    <w:name w:val="annotation reference"/>
    <w:basedOn w:val="DefaultParagraphFont"/>
    <w:unhideWhenUsed/>
    <w:rsid w:val="004D6604"/>
    <w:rPr>
      <w:sz w:val="16"/>
      <w:szCs w:val="16"/>
    </w:rPr>
  </w:style>
  <w:style w:type="paragraph" w:styleId="BalloonText">
    <w:name w:val="Balloon Text"/>
    <w:basedOn w:val="Normal"/>
    <w:link w:val="BalloonTextChar"/>
    <w:rsid w:val="004D6604"/>
    <w:rPr>
      <w:rFonts w:ascii="Tahoma" w:hAnsi="Tahoma" w:cs="Tahoma"/>
      <w:sz w:val="16"/>
      <w:szCs w:val="16"/>
    </w:rPr>
  </w:style>
  <w:style w:type="character" w:customStyle="1" w:styleId="BalloonTextChar">
    <w:name w:val="Balloon Text Char"/>
    <w:basedOn w:val="DefaultParagraphFont"/>
    <w:link w:val="BalloonText"/>
    <w:rsid w:val="004D6604"/>
    <w:rPr>
      <w:rFonts w:ascii="Tahoma" w:hAnsi="Tahoma" w:cs="Tahoma"/>
      <w:sz w:val="16"/>
      <w:szCs w:val="16"/>
    </w:rPr>
  </w:style>
  <w:style w:type="paragraph" w:styleId="TOC6">
    <w:name w:val="toc 6"/>
    <w:basedOn w:val="Normal"/>
    <w:next w:val="Normal"/>
    <w:autoRedefine/>
    <w:rsid w:val="00FB7E02"/>
    <w:pPr>
      <w:spacing w:after="100"/>
      <w:ind w:left="1100"/>
    </w:pPr>
  </w:style>
  <w:style w:type="character" w:customStyle="1" w:styleId="ListParagraphChar">
    <w:name w:val="List Paragraph Char"/>
    <w:basedOn w:val="DefaultParagraphFont"/>
    <w:link w:val="ListParagraph"/>
    <w:uiPriority w:val="34"/>
    <w:rsid w:val="00FD3F81"/>
    <w:rPr>
      <w:rFonts w:ascii="Arial" w:hAnsi="Arial"/>
      <w:bCs/>
      <w:sz w:val="22"/>
      <w:szCs w:val="22"/>
    </w:rPr>
  </w:style>
  <w:style w:type="character" w:customStyle="1" w:styleId="HBodyTextChar">
    <w:name w:val="H_Body Text Char"/>
    <w:link w:val="HBodyText"/>
    <w:rsid w:val="00B2551D"/>
    <w:rPr>
      <w:rFonts w:ascii="Arial" w:hAnsi="Arial" w:cs="Arial"/>
      <w:sz w:val="22"/>
      <w:szCs w:val="24"/>
    </w:rPr>
  </w:style>
  <w:style w:type="paragraph" w:styleId="CommentSubject">
    <w:name w:val="annotation subject"/>
    <w:basedOn w:val="CommentText"/>
    <w:next w:val="CommentText"/>
    <w:link w:val="CommentSubjectChar"/>
    <w:rsid w:val="00DB573A"/>
    <w:rPr>
      <w:b/>
      <w:bCs/>
    </w:rPr>
  </w:style>
  <w:style w:type="character" w:customStyle="1" w:styleId="CommentSubjectChar">
    <w:name w:val="Comment Subject Char"/>
    <w:basedOn w:val="CommentTextChar"/>
    <w:link w:val="CommentSubject"/>
    <w:rsid w:val="00DB573A"/>
    <w:rPr>
      <w:rFonts w:ascii="Arial" w:hAnsi="Arial" w:cs="Arial"/>
      <w:b/>
      <w:bCs/>
    </w:rPr>
  </w:style>
  <w:style w:type="paragraph" w:customStyle="1" w:styleId="Default">
    <w:name w:val="Default"/>
    <w:rsid w:val="00C64D7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autoRedefine/>
    <w:unhideWhenUsed/>
    <w:rsid w:val="00C214AA"/>
    <w:pPr>
      <w:spacing w:after="20" w:line="220" w:lineRule="exact"/>
    </w:pPr>
    <w:rPr>
      <w:color w:val="000000" w:themeColor="text1"/>
      <w:sz w:val="20"/>
      <w:szCs w:val="20"/>
    </w:rPr>
  </w:style>
  <w:style w:type="character" w:customStyle="1" w:styleId="FootnoteTextChar">
    <w:name w:val="Footnote Text Char"/>
    <w:basedOn w:val="DefaultParagraphFont"/>
    <w:link w:val="FootnoteText"/>
    <w:rsid w:val="00C214AA"/>
    <w:rPr>
      <w:rFonts w:ascii="Arial" w:hAnsi="Arial" w:cs="Arial"/>
      <w:color w:val="000000" w:themeColor="text1"/>
    </w:rPr>
  </w:style>
  <w:style w:type="character" w:styleId="FootnoteReference">
    <w:name w:val="footnote reference"/>
    <w:basedOn w:val="DefaultParagraphFont"/>
    <w:unhideWhenUsed/>
    <w:rsid w:val="006E5302"/>
    <w:rPr>
      <w:vertAlign w:val="superscript"/>
    </w:rPr>
  </w:style>
  <w:style w:type="character" w:styleId="Strong">
    <w:name w:val="Strong"/>
    <w:qFormat/>
    <w:rsid w:val="000A02E9"/>
    <w:rPr>
      <w:b/>
      <w:bCs/>
    </w:rPr>
  </w:style>
  <w:style w:type="paragraph" w:customStyle="1" w:styleId="HLevel4">
    <w:name w:val="H_Level 4"/>
    <w:basedOn w:val="Normal"/>
    <w:autoRedefine/>
    <w:rsid w:val="00B86B9C"/>
    <w:pPr>
      <w:keepNext/>
      <w:spacing w:after="240"/>
      <w:ind w:left="720"/>
    </w:pPr>
    <w:rPr>
      <w:rFonts w:ascii="Arial Bold" w:hAnsi="Arial Bold" w:cs="Times New Roman"/>
      <w:b/>
      <w:i/>
      <w:color w:val="404040"/>
      <w:lang w:val="en"/>
    </w:rPr>
  </w:style>
  <w:style w:type="paragraph" w:customStyle="1" w:styleId="HBullets">
    <w:name w:val="H_Bullets"/>
    <w:basedOn w:val="Normal"/>
    <w:qFormat/>
    <w:rsid w:val="00FD3F81"/>
    <w:pPr>
      <w:numPr>
        <w:numId w:val="34"/>
      </w:numPr>
      <w:spacing w:before="120"/>
      <w:ind w:left="1080"/>
    </w:pPr>
    <w:rPr>
      <w:rFonts w:cs="Times New Roman"/>
      <w:bCs/>
      <w:lang w:val="en"/>
    </w:rPr>
  </w:style>
  <w:style w:type="paragraph" w:customStyle="1" w:styleId="Titlepagetext">
    <w:name w:val="Title page text"/>
    <w:basedOn w:val="Normal"/>
    <w:link w:val="TitlepagetextChar"/>
    <w:qFormat/>
    <w:rsid w:val="000629E5"/>
    <w:pPr>
      <w:framePr w:hSpace="187" w:wrap="around" w:vAnchor="page" w:hAnchor="margin" w:y="5190"/>
      <w:spacing w:line="240" w:lineRule="exact"/>
      <w:suppressOverlap/>
    </w:pPr>
    <w:rPr>
      <w:rFonts w:ascii="Arial Narrow" w:hAnsi="Arial Narrow" w:cs="Times New Roman"/>
      <w:bCs/>
      <w:color w:val="FFFFFF" w:themeColor="background1"/>
      <w:sz w:val="20"/>
      <w:szCs w:val="20"/>
    </w:rPr>
  </w:style>
  <w:style w:type="character" w:customStyle="1" w:styleId="TitlepagetextChar">
    <w:name w:val="Title page text Char"/>
    <w:basedOn w:val="DefaultParagraphFont"/>
    <w:link w:val="Titlepagetext"/>
    <w:rsid w:val="000629E5"/>
    <w:rPr>
      <w:rFonts w:ascii="Arial Narrow" w:hAnsi="Arial Narrow"/>
      <w:bCs/>
      <w:color w:val="FFFFFF" w:themeColor="background1"/>
    </w:rPr>
  </w:style>
  <w:style w:type="paragraph" w:customStyle="1" w:styleId="Normal1">
    <w:name w:val="Normal1"/>
    <w:rsid w:val="000629E5"/>
    <w:rPr>
      <w:rFonts w:ascii="Arial" w:eastAsia="Arial" w:hAnsi="Arial" w:cs="Arial"/>
      <w:color w:val="000000"/>
      <w:sz w:val="22"/>
      <w:szCs w:val="22"/>
    </w:rPr>
  </w:style>
  <w:style w:type="character" w:styleId="FollowedHyperlink">
    <w:name w:val="FollowedHyperlink"/>
    <w:basedOn w:val="DefaultParagraphFont"/>
    <w:semiHidden/>
    <w:unhideWhenUsed/>
    <w:rsid w:val="00B0084C"/>
    <w:rPr>
      <w:color w:val="800080" w:themeColor="followedHyperlink"/>
      <w:u w:val="single"/>
    </w:rPr>
  </w:style>
  <w:style w:type="character" w:customStyle="1" w:styleId="find0hang020msreg10shiftf4">
    <w:name w:val="f_ind0hang020msreg10shiftf4"/>
    <w:basedOn w:val="DefaultParagraphFont"/>
    <w:rsid w:val="007F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3650">
      <w:bodyDiv w:val="1"/>
      <w:marLeft w:val="0"/>
      <w:marRight w:val="0"/>
      <w:marTop w:val="0"/>
      <w:marBottom w:val="0"/>
      <w:divBdr>
        <w:top w:val="none" w:sz="0" w:space="0" w:color="auto"/>
        <w:left w:val="none" w:sz="0" w:space="0" w:color="auto"/>
        <w:bottom w:val="none" w:sz="0" w:space="0" w:color="auto"/>
        <w:right w:val="none" w:sz="0" w:space="0" w:color="auto"/>
      </w:divBdr>
    </w:div>
    <w:div w:id="284435601">
      <w:bodyDiv w:val="1"/>
      <w:marLeft w:val="0"/>
      <w:marRight w:val="0"/>
      <w:marTop w:val="0"/>
      <w:marBottom w:val="0"/>
      <w:divBdr>
        <w:top w:val="none" w:sz="0" w:space="0" w:color="auto"/>
        <w:left w:val="none" w:sz="0" w:space="0" w:color="auto"/>
        <w:bottom w:val="none" w:sz="0" w:space="0" w:color="auto"/>
        <w:right w:val="none" w:sz="0" w:space="0" w:color="auto"/>
      </w:divBdr>
    </w:div>
    <w:div w:id="333650337">
      <w:bodyDiv w:val="1"/>
      <w:marLeft w:val="0"/>
      <w:marRight w:val="0"/>
      <w:marTop w:val="0"/>
      <w:marBottom w:val="0"/>
      <w:divBdr>
        <w:top w:val="none" w:sz="0" w:space="0" w:color="auto"/>
        <w:left w:val="none" w:sz="0" w:space="0" w:color="auto"/>
        <w:bottom w:val="none" w:sz="0" w:space="0" w:color="auto"/>
        <w:right w:val="none" w:sz="0" w:space="0" w:color="auto"/>
      </w:divBdr>
    </w:div>
    <w:div w:id="355888579">
      <w:bodyDiv w:val="1"/>
      <w:marLeft w:val="0"/>
      <w:marRight w:val="0"/>
      <w:marTop w:val="0"/>
      <w:marBottom w:val="0"/>
      <w:divBdr>
        <w:top w:val="none" w:sz="0" w:space="0" w:color="auto"/>
        <w:left w:val="none" w:sz="0" w:space="0" w:color="auto"/>
        <w:bottom w:val="none" w:sz="0" w:space="0" w:color="auto"/>
        <w:right w:val="none" w:sz="0" w:space="0" w:color="auto"/>
      </w:divBdr>
    </w:div>
    <w:div w:id="464156191">
      <w:bodyDiv w:val="1"/>
      <w:marLeft w:val="0"/>
      <w:marRight w:val="0"/>
      <w:marTop w:val="0"/>
      <w:marBottom w:val="0"/>
      <w:divBdr>
        <w:top w:val="none" w:sz="0" w:space="0" w:color="auto"/>
        <w:left w:val="none" w:sz="0" w:space="0" w:color="auto"/>
        <w:bottom w:val="none" w:sz="0" w:space="0" w:color="auto"/>
        <w:right w:val="none" w:sz="0" w:space="0" w:color="auto"/>
      </w:divBdr>
    </w:div>
    <w:div w:id="1017971904">
      <w:bodyDiv w:val="1"/>
      <w:marLeft w:val="0"/>
      <w:marRight w:val="0"/>
      <w:marTop w:val="0"/>
      <w:marBottom w:val="0"/>
      <w:divBdr>
        <w:top w:val="none" w:sz="0" w:space="0" w:color="auto"/>
        <w:left w:val="none" w:sz="0" w:space="0" w:color="auto"/>
        <w:bottom w:val="none" w:sz="0" w:space="0" w:color="auto"/>
        <w:right w:val="none" w:sz="0" w:space="0" w:color="auto"/>
      </w:divBdr>
    </w:div>
    <w:div w:id="1129206384">
      <w:bodyDiv w:val="1"/>
      <w:marLeft w:val="0"/>
      <w:marRight w:val="0"/>
      <w:marTop w:val="0"/>
      <w:marBottom w:val="0"/>
      <w:divBdr>
        <w:top w:val="none" w:sz="0" w:space="0" w:color="auto"/>
        <w:left w:val="none" w:sz="0" w:space="0" w:color="auto"/>
        <w:bottom w:val="none" w:sz="0" w:space="0" w:color="auto"/>
        <w:right w:val="none" w:sz="0" w:space="0" w:color="auto"/>
      </w:divBdr>
    </w:div>
    <w:div w:id="1557398222">
      <w:bodyDiv w:val="1"/>
      <w:marLeft w:val="0"/>
      <w:marRight w:val="0"/>
      <w:marTop w:val="0"/>
      <w:marBottom w:val="0"/>
      <w:divBdr>
        <w:top w:val="none" w:sz="0" w:space="0" w:color="auto"/>
        <w:left w:val="none" w:sz="0" w:space="0" w:color="auto"/>
        <w:bottom w:val="none" w:sz="0" w:space="0" w:color="auto"/>
        <w:right w:val="none" w:sz="0" w:space="0" w:color="auto"/>
      </w:divBdr>
    </w:div>
    <w:div w:id="1742870004">
      <w:bodyDiv w:val="1"/>
      <w:marLeft w:val="0"/>
      <w:marRight w:val="0"/>
      <w:marTop w:val="0"/>
      <w:marBottom w:val="0"/>
      <w:divBdr>
        <w:top w:val="none" w:sz="0" w:space="0" w:color="auto"/>
        <w:left w:val="none" w:sz="0" w:space="0" w:color="auto"/>
        <w:bottom w:val="none" w:sz="0" w:space="0" w:color="auto"/>
        <w:right w:val="none" w:sz="0" w:space="0" w:color="auto"/>
      </w:divBdr>
    </w:div>
    <w:div w:id="20561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interscience.wiley.com/journal/119203252/issue"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a.texas.gov/WorkArea/linkit.aspx?LinkIdentifier=id&amp;ItemID=25769811322&amp;libID=25769811339"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tea.texas.gov/WorkArea/linkit.aspx?LinkIdentifier=id&amp;ItemID=25769823" TargetMode="External"/><Relationship Id="rId3" Type="http://schemas.openxmlformats.org/officeDocument/2006/relationships/hyperlink" Target="http://ritter.tea.state.tx.us/rules/tac/chapter111/index.html" TargetMode="External"/><Relationship Id="rId7" Type="http://schemas.openxmlformats.org/officeDocument/2006/relationships/hyperlink" Target="http://www.tea.texas.gov/WorkArea/linkit.aspx?LinkIdentifier=id&amp;ItemID=25769804" TargetMode="External"/><Relationship Id="rId12" Type="http://schemas.openxmlformats.org/officeDocument/2006/relationships/hyperlink" Target="http://tea.texas.gov/Student_Testing_and_Accountability/Testing/Student_Assessment_Overview/Technical_Digest_2014-2015/" TargetMode="External"/><Relationship Id="rId2" Type="http://schemas.openxmlformats.org/officeDocument/2006/relationships/hyperlink" Target="http://tea.texas.gov/Student_Testing_and_Accountability/Testing/Student_Assessment_Overview/Technical_Digest_2014-2015/" TargetMode="External"/><Relationship Id="rId1" Type="http://schemas.openxmlformats.org/officeDocument/2006/relationships/hyperlink" Target="http://tea.texas.gov/student.assessment/interpguide/" TargetMode="External"/><Relationship Id="rId6" Type="http://schemas.openxmlformats.org/officeDocument/2006/relationships/hyperlink" Target="http://tea.texas.gov/Student_Testing_and_Accountability/Testing/Student_Assessment_Overview/Technical_Digest_2014-2015/" TargetMode="External"/><Relationship Id="rId11" Type="http://schemas.openxmlformats.org/officeDocument/2006/relationships/hyperlink" Target="http://tea.texas.gov/Student_Testing_and_Accountability/Testing/Student_Assessment_Overview/Technical_Digest_2014-2015/" TargetMode="External"/><Relationship Id="rId5" Type="http://schemas.openxmlformats.org/officeDocument/2006/relationships/hyperlink" Target="http://tea.texas.gov/student.assessment/staar/" TargetMode="External"/><Relationship Id="rId10" Type="http://schemas.openxmlformats.org/officeDocument/2006/relationships/hyperlink" Target="http://tea.texas.gov/student.assessment/staar/" TargetMode="External"/><Relationship Id="rId4" Type="http://schemas.openxmlformats.org/officeDocument/2006/relationships/hyperlink" Target="http://ritter.tea.state.tx.us/rules/tac/chapter110/index.html" TargetMode="External"/><Relationship Id="rId9" Type="http://schemas.openxmlformats.org/officeDocument/2006/relationships/hyperlink" Target="http://tea.texas.gov/curriculum/te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atz\Documents\zRichard\Work\Indiana%20Alignment%20proposal\ProposalTemplate_Edu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EAA4-65D9-4478-AE35-380E95F8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ProposalTemplate_Education.dotx</Template>
  <TotalTime>0</TotalTime>
  <Pages>29</Pages>
  <Words>8819</Words>
  <Characters>50270</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FR-10-41</vt:lpstr>
    </vt:vector>
  </TitlesOfParts>
  <Company>Microsoft</Company>
  <LinksUpToDate>false</LinksUpToDate>
  <CharactersWithSpaces>58972</CharactersWithSpaces>
  <SharedDoc>false</SharedDoc>
  <HLinks>
    <vt:vector size="48" baseType="variant">
      <vt:variant>
        <vt:i4>1507382</vt:i4>
      </vt:variant>
      <vt:variant>
        <vt:i4>50</vt:i4>
      </vt:variant>
      <vt:variant>
        <vt:i4>0</vt:i4>
      </vt:variant>
      <vt:variant>
        <vt:i4>5</vt:i4>
      </vt:variant>
      <vt:variant>
        <vt:lpwstr/>
      </vt:variant>
      <vt:variant>
        <vt:lpwstr>_Toc320545129</vt:lpwstr>
      </vt:variant>
      <vt:variant>
        <vt:i4>1310774</vt:i4>
      </vt:variant>
      <vt:variant>
        <vt:i4>41</vt:i4>
      </vt:variant>
      <vt:variant>
        <vt:i4>0</vt:i4>
      </vt:variant>
      <vt:variant>
        <vt:i4>5</vt:i4>
      </vt:variant>
      <vt:variant>
        <vt:lpwstr/>
      </vt:variant>
      <vt:variant>
        <vt:lpwstr>_Toc320545115</vt:lpwstr>
      </vt:variant>
      <vt:variant>
        <vt:i4>1245239</vt:i4>
      </vt:variant>
      <vt:variant>
        <vt:i4>32</vt:i4>
      </vt:variant>
      <vt:variant>
        <vt:i4>0</vt:i4>
      </vt:variant>
      <vt:variant>
        <vt:i4>5</vt:i4>
      </vt:variant>
      <vt:variant>
        <vt:lpwstr/>
      </vt:variant>
      <vt:variant>
        <vt:lpwstr>_Toc320545068</vt:lpwstr>
      </vt:variant>
      <vt:variant>
        <vt:i4>1245239</vt:i4>
      </vt:variant>
      <vt:variant>
        <vt:i4>26</vt:i4>
      </vt:variant>
      <vt:variant>
        <vt:i4>0</vt:i4>
      </vt:variant>
      <vt:variant>
        <vt:i4>5</vt:i4>
      </vt:variant>
      <vt:variant>
        <vt:lpwstr/>
      </vt:variant>
      <vt:variant>
        <vt:lpwstr>_Toc320545067</vt:lpwstr>
      </vt:variant>
      <vt:variant>
        <vt:i4>1245239</vt:i4>
      </vt:variant>
      <vt:variant>
        <vt:i4>20</vt:i4>
      </vt:variant>
      <vt:variant>
        <vt:i4>0</vt:i4>
      </vt:variant>
      <vt:variant>
        <vt:i4>5</vt:i4>
      </vt:variant>
      <vt:variant>
        <vt:lpwstr/>
      </vt:variant>
      <vt:variant>
        <vt:lpwstr>_Toc320545066</vt:lpwstr>
      </vt:variant>
      <vt:variant>
        <vt:i4>1245239</vt:i4>
      </vt:variant>
      <vt:variant>
        <vt:i4>14</vt:i4>
      </vt:variant>
      <vt:variant>
        <vt:i4>0</vt:i4>
      </vt:variant>
      <vt:variant>
        <vt:i4>5</vt:i4>
      </vt:variant>
      <vt:variant>
        <vt:lpwstr/>
      </vt:variant>
      <vt:variant>
        <vt:lpwstr>_Toc320545065</vt:lpwstr>
      </vt:variant>
      <vt:variant>
        <vt:i4>1245239</vt:i4>
      </vt:variant>
      <vt:variant>
        <vt:i4>8</vt:i4>
      </vt:variant>
      <vt:variant>
        <vt:i4>0</vt:i4>
      </vt:variant>
      <vt:variant>
        <vt:i4>5</vt:i4>
      </vt:variant>
      <vt:variant>
        <vt:lpwstr/>
      </vt:variant>
      <vt:variant>
        <vt:lpwstr>_Toc320545064</vt:lpwstr>
      </vt:variant>
      <vt:variant>
        <vt:i4>1245239</vt:i4>
      </vt:variant>
      <vt:variant>
        <vt:i4>2</vt:i4>
      </vt:variant>
      <vt:variant>
        <vt:i4>0</vt:i4>
      </vt:variant>
      <vt:variant>
        <vt:i4>5</vt:i4>
      </vt:variant>
      <vt:variant>
        <vt:lpwstr/>
      </vt:variant>
      <vt:variant>
        <vt:lpwstr>_Toc320545063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FR-10-41</dc:title>
  <dc:creator>Richard Deatz</dc:creator>
  <cp:lastModifiedBy>Wilson, Tony</cp:lastModifiedBy>
  <cp:revision>2</cp:revision>
  <cp:lastPrinted>2016-03-17T19:42:00Z</cp:lastPrinted>
  <dcterms:created xsi:type="dcterms:W3CDTF">2016-03-21T21:30:00Z</dcterms:created>
  <dcterms:modified xsi:type="dcterms:W3CDTF">2016-03-21T21:30:00Z</dcterms:modified>
</cp:coreProperties>
</file>